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33" w:rsidRPr="00B8775B" w:rsidRDefault="00C907D2" w:rsidP="003A1E33">
      <w:pPr>
        <w:pStyle w:val="NormalArial"/>
        <w:spacing w:line="360" w:lineRule="auto"/>
        <w:jc w:val="both"/>
        <w:rPr>
          <w:rFonts w:ascii="Gill Sans MT" w:hAnsi="Gill Sans MT"/>
          <w:smallCaps/>
          <w:sz w:val="26"/>
          <w:szCs w:val="26"/>
        </w:rPr>
      </w:pPr>
      <w:r>
        <w:rPr>
          <w:rFonts w:ascii="Gill Sans MT" w:hAnsi="Gill Sans MT"/>
          <w:smallCaps/>
          <w:sz w:val="26"/>
          <w:szCs w:val="26"/>
        </w:rPr>
        <w:t>Meritíssimo</w:t>
      </w:r>
      <w:r w:rsidR="005770F0">
        <w:rPr>
          <w:rFonts w:ascii="Gill Sans MT" w:hAnsi="Gill Sans MT"/>
          <w:smallCaps/>
          <w:sz w:val="26"/>
          <w:szCs w:val="26"/>
        </w:rPr>
        <w:t xml:space="preserve"> Juízo</w:t>
      </w:r>
      <w:r w:rsidR="003A1E33" w:rsidRPr="00B8775B">
        <w:rPr>
          <w:rFonts w:ascii="Gill Sans MT" w:hAnsi="Gill Sans MT"/>
          <w:smallCaps/>
          <w:sz w:val="26"/>
          <w:szCs w:val="26"/>
        </w:rPr>
        <w:t xml:space="preserve"> da</w:t>
      </w:r>
      <w:r w:rsidR="003A1E33">
        <w:rPr>
          <w:rFonts w:ascii="Gill Sans MT" w:hAnsi="Gill Sans MT"/>
          <w:smallCaps/>
          <w:sz w:val="26"/>
          <w:szCs w:val="26"/>
        </w:rPr>
        <w:t xml:space="preserve"> 1º </w:t>
      </w:r>
      <w:r w:rsidR="003A1E33" w:rsidRPr="00B8775B">
        <w:rPr>
          <w:rFonts w:ascii="Gill Sans MT" w:hAnsi="Gill Sans MT"/>
          <w:smallCaps/>
          <w:sz w:val="26"/>
          <w:szCs w:val="26"/>
        </w:rPr>
        <w:t xml:space="preserve">Vara </w:t>
      </w:r>
      <w:r w:rsidR="005770F0">
        <w:rPr>
          <w:rFonts w:ascii="Gill Sans MT" w:hAnsi="Gill Sans MT"/>
          <w:smallCaps/>
          <w:sz w:val="26"/>
          <w:szCs w:val="26"/>
        </w:rPr>
        <w:t>de Fazenda Pública e de Registros Públicos</w:t>
      </w:r>
      <w:r w:rsidR="003A1E33">
        <w:rPr>
          <w:rFonts w:ascii="Gill Sans MT" w:hAnsi="Gill Sans MT"/>
          <w:smallCaps/>
          <w:sz w:val="26"/>
          <w:szCs w:val="26"/>
        </w:rPr>
        <w:t xml:space="preserve"> da </w:t>
      </w:r>
      <w:r w:rsidR="003A1E33" w:rsidRPr="00B8775B">
        <w:rPr>
          <w:rFonts w:ascii="Gill Sans MT" w:hAnsi="Gill Sans MT"/>
          <w:smallCaps/>
          <w:sz w:val="26"/>
          <w:szCs w:val="26"/>
        </w:rPr>
        <w:t xml:space="preserve">Comarca de </w:t>
      </w:r>
      <w:sdt>
        <w:sdtPr>
          <w:rPr>
            <w:rFonts w:ascii="Gill Sans MT" w:hAnsi="Gill Sans MT"/>
            <w:smallCaps/>
            <w:sz w:val="26"/>
            <w:szCs w:val="26"/>
          </w:rPr>
          <w:alias w:val="Comentários"/>
          <w:tag w:val=""/>
          <w:id w:val="1820911261"/>
          <w:placeholder>
            <w:docPart w:val="CCFC089E9AAE4BD592AD55EA80C9668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 w:rsidR="00004E60">
            <w:rPr>
              <w:rFonts w:ascii="Gill Sans MT" w:hAnsi="Gill Sans MT"/>
              <w:smallCaps/>
              <w:sz w:val="26"/>
              <w:szCs w:val="26"/>
            </w:rPr>
            <w:t>Campo Grande/MS</w:t>
          </w:r>
        </w:sdtContent>
      </w:sdt>
      <w:r w:rsidR="003A1E33" w:rsidRPr="00B8775B">
        <w:rPr>
          <w:rFonts w:ascii="Gill Sans MT" w:hAnsi="Gill Sans MT"/>
          <w:smallCaps/>
          <w:sz w:val="26"/>
          <w:szCs w:val="26"/>
        </w:rPr>
        <w:t>,</w:t>
      </w:r>
    </w:p>
    <w:p w:rsidR="003A1E33" w:rsidRPr="000E062F" w:rsidRDefault="003A1E33" w:rsidP="003A1E33">
      <w:pPr>
        <w:pStyle w:val="NormalArial"/>
        <w:spacing w:line="360" w:lineRule="auto"/>
        <w:ind w:firstLine="1080"/>
        <w:jc w:val="both"/>
      </w:pPr>
    </w:p>
    <w:p w:rsidR="003A1E33" w:rsidRDefault="003A1E33" w:rsidP="003A1E33">
      <w:pPr>
        <w:pStyle w:val="NormalArial"/>
        <w:spacing w:line="360" w:lineRule="auto"/>
        <w:ind w:firstLine="1080"/>
        <w:jc w:val="both"/>
      </w:pPr>
    </w:p>
    <w:p w:rsidR="004B6AD9" w:rsidRDefault="004B6AD9" w:rsidP="003A1E33">
      <w:pPr>
        <w:pStyle w:val="NormalArial"/>
        <w:spacing w:line="360" w:lineRule="auto"/>
        <w:ind w:firstLine="1080"/>
        <w:jc w:val="both"/>
      </w:pPr>
    </w:p>
    <w:p w:rsidR="004B6AD9" w:rsidRDefault="004B6AD9" w:rsidP="003A1E33">
      <w:pPr>
        <w:pStyle w:val="NormalArial"/>
        <w:spacing w:line="360" w:lineRule="auto"/>
        <w:ind w:firstLine="1080"/>
        <w:jc w:val="both"/>
      </w:pPr>
    </w:p>
    <w:p w:rsidR="004B6AD9" w:rsidRDefault="004B6AD9" w:rsidP="003A1E33">
      <w:pPr>
        <w:pStyle w:val="NormalArial"/>
        <w:spacing w:line="360" w:lineRule="auto"/>
        <w:ind w:firstLine="1080"/>
        <w:jc w:val="both"/>
      </w:pPr>
    </w:p>
    <w:p w:rsidR="004B6AD9" w:rsidRDefault="004B6AD9" w:rsidP="003A1E33">
      <w:pPr>
        <w:pStyle w:val="NormalArial"/>
        <w:spacing w:line="360" w:lineRule="auto"/>
        <w:ind w:firstLine="1080"/>
        <w:jc w:val="both"/>
      </w:pPr>
    </w:p>
    <w:p w:rsidR="004B6AD9" w:rsidRDefault="004B6AD9" w:rsidP="003A1E33">
      <w:pPr>
        <w:pStyle w:val="NormalArial"/>
        <w:spacing w:line="360" w:lineRule="auto"/>
        <w:ind w:firstLine="1080"/>
        <w:jc w:val="both"/>
      </w:pPr>
    </w:p>
    <w:p w:rsidR="004B6AD9" w:rsidRDefault="004B6AD9" w:rsidP="003A1E33">
      <w:pPr>
        <w:pStyle w:val="NormalArial"/>
        <w:spacing w:line="360" w:lineRule="auto"/>
        <w:ind w:firstLine="1080"/>
        <w:jc w:val="both"/>
      </w:pPr>
    </w:p>
    <w:p w:rsidR="004B6AD9" w:rsidRDefault="004B6AD9" w:rsidP="003A1E33">
      <w:pPr>
        <w:pStyle w:val="NormalArial"/>
        <w:spacing w:line="360" w:lineRule="auto"/>
        <w:ind w:firstLine="1080"/>
        <w:jc w:val="both"/>
      </w:pPr>
    </w:p>
    <w:p w:rsidR="003A1E33" w:rsidRDefault="003A1E33" w:rsidP="003A1E33">
      <w:pPr>
        <w:pStyle w:val="NormalArial"/>
        <w:spacing w:line="360" w:lineRule="auto"/>
        <w:ind w:firstLine="1080"/>
        <w:jc w:val="both"/>
      </w:pPr>
    </w:p>
    <w:p w:rsidR="00734D47" w:rsidRDefault="004610F5" w:rsidP="00C7702D">
      <w:pPr>
        <w:pStyle w:val="NormalArial"/>
        <w:spacing w:line="360" w:lineRule="auto"/>
        <w:ind w:firstLine="1080"/>
        <w:jc w:val="center"/>
      </w:pPr>
      <w:r>
        <w:rPr>
          <w:rFonts w:ascii="Gill Sans MT" w:hAnsi="Gill Sans MT"/>
          <w:smallCaps/>
          <w:sz w:val="28"/>
          <w:szCs w:val="28"/>
        </w:rPr>
        <w:t xml:space="preserve"> </w:t>
      </w:r>
      <w:bookmarkStart w:id="0" w:name="_GoBack"/>
      <w:bookmarkEnd w:id="0"/>
    </w:p>
    <w:p w:rsidR="00734D47" w:rsidRDefault="00734D47" w:rsidP="003A1E33">
      <w:pPr>
        <w:pStyle w:val="NormalArial"/>
        <w:spacing w:line="360" w:lineRule="auto"/>
        <w:ind w:firstLine="1080"/>
        <w:jc w:val="both"/>
      </w:pPr>
    </w:p>
    <w:p w:rsidR="003A1E33" w:rsidRPr="00195EB6" w:rsidRDefault="005770F0" w:rsidP="005770F0">
      <w:pPr>
        <w:pStyle w:val="NormalArial"/>
        <w:jc w:val="both"/>
        <w:rPr>
          <w:sz w:val="28"/>
          <w:szCs w:val="28"/>
        </w:rPr>
      </w:pPr>
      <w:r w:rsidRPr="00195EB6">
        <w:rPr>
          <w:rFonts w:ascii="Gill Sans MT" w:hAnsi="Gill Sans MT"/>
          <w:smallCaps/>
          <w:sz w:val="28"/>
          <w:szCs w:val="28"/>
        </w:rPr>
        <w:t xml:space="preserve">Sindicato dos Servidores do Poder Judiciário do Estado do Mato Grosso do Sul - </w:t>
      </w:r>
      <w:sdt>
        <w:sdtPr>
          <w:rPr>
            <w:rFonts w:ascii="Gill Sans MT" w:hAnsi="Gill Sans MT"/>
            <w:smallCaps/>
            <w:sz w:val="28"/>
            <w:szCs w:val="28"/>
          </w:rPr>
          <w:alias w:val="Autor"/>
          <w:tag w:val=""/>
          <w:id w:val="1763176541"/>
          <w:placeholder>
            <w:docPart w:val="5F0A5733DBF54C469E6122CC9364930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Pr="00195EB6">
            <w:rPr>
              <w:rFonts w:ascii="Gill Sans MT" w:hAnsi="Gill Sans MT"/>
              <w:smallCaps/>
              <w:sz w:val="28"/>
              <w:szCs w:val="28"/>
            </w:rPr>
            <w:t>SINDIJUS/MS</w:t>
          </w:r>
        </w:sdtContent>
      </w:sdt>
      <w:r w:rsidR="003A1E33" w:rsidRPr="00195EB6">
        <w:rPr>
          <w:rFonts w:ascii="Gill Sans MT" w:hAnsi="Gill Sans MT" w:cs="Tahoma"/>
          <w:smallCaps/>
          <w:sz w:val="28"/>
          <w:szCs w:val="28"/>
        </w:rPr>
        <w:t>,</w:t>
      </w:r>
    </w:p>
    <w:p w:rsidR="003A1E33" w:rsidRPr="00D0649C" w:rsidRDefault="005770F0" w:rsidP="00AB2DD6">
      <w:pPr>
        <w:spacing w:before="120" w:after="120" w:line="276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734D47">
        <w:rPr>
          <w:rFonts w:ascii="Arial" w:hAnsi="Arial" w:cs="Arial"/>
          <w:sz w:val="24"/>
          <w:szCs w:val="24"/>
        </w:rPr>
        <w:t xml:space="preserve">devidamente qualificado nos autos do </w:t>
      </w:r>
      <w:sdt>
        <w:sdtPr>
          <w:rPr>
            <w:rFonts w:ascii="Gill Sans MT" w:hAnsi="Gill Sans MT"/>
            <w:smallCaps/>
            <w:sz w:val="28"/>
            <w:szCs w:val="32"/>
          </w:rPr>
          <w:alias w:val="Categoria"/>
          <w:tag w:val=""/>
          <w:id w:val="422761312"/>
          <w:placeholder>
            <w:docPart w:val="D985937B909041798214E0CE7106171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534C0B" w:rsidRPr="00734D47">
            <w:rPr>
              <w:rFonts w:ascii="Gill Sans MT" w:hAnsi="Gill Sans MT"/>
              <w:smallCaps/>
              <w:sz w:val="28"/>
              <w:szCs w:val="32"/>
            </w:rPr>
            <w:t xml:space="preserve">Processo n. </w:t>
          </w:r>
          <w:r w:rsidRPr="00734D47">
            <w:rPr>
              <w:rFonts w:ascii="Gill Sans MT" w:hAnsi="Gill Sans MT"/>
              <w:smallCaps/>
              <w:sz w:val="28"/>
              <w:szCs w:val="32"/>
            </w:rPr>
            <w:t>0013704-10.1999</w:t>
          </w:r>
          <w:r w:rsidR="00534C0B" w:rsidRPr="00734D47">
            <w:rPr>
              <w:rFonts w:ascii="Gill Sans MT" w:hAnsi="Gill Sans MT"/>
              <w:smallCaps/>
              <w:sz w:val="28"/>
              <w:szCs w:val="32"/>
            </w:rPr>
            <w:t>.8.12.000</w:t>
          </w:r>
          <w:r w:rsidRPr="00734D47">
            <w:rPr>
              <w:rFonts w:ascii="Gill Sans MT" w:hAnsi="Gill Sans MT"/>
              <w:smallCaps/>
              <w:sz w:val="28"/>
              <w:szCs w:val="32"/>
            </w:rPr>
            <w:t>1/004</w:t>
          </w:r>
        </w:sdtContent>
      </w:sdt>
      <w:r w:rsidR="00195EB6" w:rsidRPr="00734D47">
        <w:rPr>
          <w:rFonts w:ascii="Arial" w:hAnsi="Arial" w:cs="Arial"/>
          <w:sz w:val="24"/>
          <w:szCs w:val="24"/>
        </w:rPr>
        <w:t xml:space="preserve"> que move em face do </w:t>
      </w:r>
      <w:sdt>
        <w:sdtPr>
          <w:rPr>
            <w:rFonts w:ascii="Gill Sans MT" w:hAnsi="Gill Sans MT" w:cs="Arial"/>
            <w:smallCaps/>
            <w:sz w:val="28"/>
            <w:szCs w:val="28"/>
          </w:rPr>
          <w:alias w:val="Assunto"/>
          <w:tag w:val=""/>
          <w:id w:val="-345644076"/>
          <w:placeholder>
            <w:docPart w:val="E56EAB9B81784413A5C348A34B12C72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195EB6" w:rsidRPr="00734D47">
            <w:rPr>
              <w:rFonts w:ascii="Gill Sans MT" w:hAnsi="Gill Sans MT" w:cs="Arial"/>
              <w:smallCaps/>
              <w:sz w:val="28"/>
              <w:szCs w:val="28"/>
            </w:rPr>
            <w:t>Estado do Mato Grosso do Sul</w:t>
          </w:r>
        </w:sdtContent>
      </w:sdt>
      <w:r w:rsidR="003A1E33" w:rsidRPr="00734D47">
        <w:rPr>
          <w:rFonts w:ascii="Arial" w:hAnsi="Arial" w:cs="Arial"/>
          <w:sz w:val="24"/>
          <w:szCs w:val="24"/>
        </w:rPr>
        <w:t xml:space="preserve"> </w:t>
      </w:r>
      <w:r w:rsidRPr="00734D47">
        <w:rPr>
          <w:rFonts w:ascii="Arial" w:hAnsi="Arial" w:cs="Arial"/>
          <w:sz w:val="24"/>
          <w:szCs w:val="24"/>
        </w:rPr>
        <w:t>por intermédio de seus advogados</w:t>
      </w:r>
      <w:r w:rsidR="003A1E33" w:rsidRPr="00734D47">
        <w:rPr>
          <w:rFonts w:ascii="Arial" w:hAnsi="Arial" w:cs="Arial"/>
          <w:sz w:val="24"/>
          <w:szCs w:val="24"/>
        </w:rPr>
        <w:t>,</w:t>
      </w:r>
      <w:r w:rsidRPr="00734D47">
        <w:rPr>
          <w:rFonts w:ascii="Arial" w:hAnsi="Arial" w:cs="Arial"/>
          <w:sz w:val="24"/>
          <w:szCs w:val="24"/>
        </w:rPr>
        <w:t xml:space="preserve"> </w:t>
      </w:r>
      <w:r w:rsidR="003A1E33" w:rsidRPr="00734D47">
        <w:rPr>
          <w:rFonts w:ascii="Arial" w:hAnsi="Arial" w:cs="Arial"/>
          <w:sz w:val="24"/>
          <w:szCs w:val="24"/>
        </w:rPr>
        <w:t>perante este d. Juízo</w:t>
      </w:r>
      <w:r w:rsidR="00AA21FA">
        <w:rPr>
          <w:rFonts w:ascii="Arial" w:hAnsi="Arial" w:cs="Arial"/>
          <w:sz w:val="24"/>
          <w:szCs w:val="24"/>
        </w:rPr>
        <w:t>,</w:t>
      </w:r>
      <w:r w:rsidR="003A1E33" w:rsidRPr="00734D47">
        <w:rPr>
          <w:rFonts w:ascii="Arial" w:hAnsi="Arial" w:cs="Arial"/>
          <w:sz w:val="24"/>
          <w:szCs w:val="24"/>
        </w:rPr>
        <w:t xml:space="preserve"> </w:t>
      </w:r>
      <w:r w:rsidR="00AA21FA" w:rsidRPr="00734D47">
        <w:rPr>
          <w:rFonts w:ascii="Arial" w:hAnsi="Arial" w:cs="Arial"/>
          <w:sz w:val="24"/>
          <w:szCs w:val="24"/>
        </w:rPr>
        <w:t>vem</w:t>
      </w:r>
      <w:r w:rsidR="00AA21FA">
        <w:rPr>
          <w:rFonts w:ascii="Arial" w:hAnsi="Arial" w:cs="Arial"/>
          <w:sz w:val="24"/>
          <w:szCs w:val="24"/>
        </w:rPr>
        <w:t xml:space="preserve"> </w:t>
      </w:r>
      <w:r w:rsidR="00C907D2">
        <w:rPr>
          <w:rFonts w:ascii="Arial" w:hAnsi="Arial" w:cs="Arial"/>
          <w:sz w:val="24"/>
          <w:szCs w:val="24"/>
        </w:rPr>
        <w:t>expor e requerer o seguinte</w:t>
      </w:r>
      <w:r w:rsidRPr="00734D47">
        <w:rPr>
          <w:rFonts w:ascii="Arial" w:hAnsi="Arial" w:cs="Arial"/>
          <w:sz w:val="24"/>
          <w:szCs w:val="24"/>
        </w:rPr>
        <w:t>:</w:t>
      </w:r>
      <w:r w:rsidR="003A1E33" w:rsidRPr="00D0649C">
        <w:rPr>
          <w:rFonts w:ascii="Arial" w:hAnsi="Arial" w:cs="Arial"/>
          <w:sz w:val="24"/>
          <w:szCs w:val="24"/>
        </w:rPr>
        <w:t xml:space="preserve"> </w:t>
      </w:r>
    </w:p>
    <w:p w:rsidR="002D5793" w:rsidRPr="00C34E18" w:rsidRDefault="002D5793" w:rsidP="002D5793">
      <w:pPr>
        <w:pBdr>
          <w:bottom w:val="single" w:sz="18" w:space="1" w:color="FFC000" w:themeColor="accent4"/>
        </w:pBdr>
        <w:spacing w:before="240" w:after="0" w:line="240" w:lineRule="auto"/>
        <w:jc w:val="both"/>
        <w:rPr>
          <w:rFonts w:ascii="Gill Sans MT" w:hAnsi="Gill Sans MT" w:cs="Arial"/>
          <w:smallCaps/>
          <w:sz w:val="28"/>
          <w:szCs w:val="28"/>
        </w:rPr>
      </w:pPr>
      <w:r w:rsidRPr="00C34E18">
        <w:rPr>
          <w:rFonts w:ascii="Gill Sans MT" w:hAnsi="Gill Sans MT" w:cs="Arial"/>
          <w:smallCaps/>
          <w:sz w:val="28"/>
          <w:szCs w:val="28"/>
        </w:rPr>
        <w:t xml:space="preserve">I – </w:t>
      </w:r>
      <w:r>
        <w:rPr>
          <w:rFonts w:ascii="Gill Sans MT" w:hAnsi="Gill Sans MT" w:cs="Arial"/>
          <w:smallCaps/>
          <w:sz w:val="28"/>
          <w:szCs w:val="28"/>
        </w:rPr>
        <w:t>Do Prazo</w:t>
      </w:r>
    </w:p>
    <w:p w:rsidR="00CB404D" w:rsidRDefault="00175C32" w:rsidP="00CB404D">
      <w:pPr>
        <w:pStyle w:val="NormalArial"/>
        <w:spacing w:before="240" w:after="240" w:line="360" w:lineRule="auto"/>
        <w:ind w:firstLine="1134"/>
        <w:jc w:val="both"/>
      </w:pPr>
      <w:r>
        <w:t>Antes de adentrar no mérito da presente</w:t>
      </w:r>
      <w:r w:rsidR="00AA21FA">
        <w:t>,</w:t>
      </w:r>
      <w:r>
        <w:t xml:space="preserve"> destacamos que</w:t>
      </w:r>
      <w:r w:rsidR="00CB404D">
        <w:t xml:space="preserve"> </w:t>
      </w:r>
      <w:r>
        <w:t xml:space="preserve">o polo </w:t>
      </w:r>
      <w:r w:rsidR="002D5793">
        <w:t>ativo</w:t>
      </w:r>
      <w:r>
        <w:t xml:space="preserve"> da </w:t>
      </w:r>
      <w:r w:rsidR="00CB404D">
        <w:t>lide é composto por litisconsórcio com representação processual heterogênea</w:t>
      </w:r>
      <w:r w:rsidR="00AA21FA">
        <w:t>.</w:t>
      </w:r>
      <w:r w:rsidR="00CB404D">
        <w:t xml:space="preserve"> </w:t>
      </w:r>
      <w:r w:rsidR="00AA21FA">
        <w:t>P</w:t>
      </w:r>
      <w:r w:rsidR="00CB404D">
        <w:t xml:space="preserve">or este motivo, deve ser observado o prazo em dobro para que os </w:t>
      </w:r>
      <w:r w:rsidR="00CB404D" w:rsidRPr="002D5793">
        <w:t>autores</w:t>
      </w:r>
      <w:r w:rsidR="00CB404D">
        <w:t xml:space="preserve"> </w:t>
      </w:r>
      <w:r w:rsidR="00AA21FA">
        <w:t>manifestem-se</w:t>
      </w:r>
      <w:r w:rsidR="00CB404D">
        <w:t xml:space="preserve"> nos autos de acordo com a norma do art. </w:t>
      </w:r>
      <w:r w:rsidR="000D0FEA">
        <w:t>229</w:t>
      </w:r>
      <w:r w:rsidR="00CB404D">
        <w:rPr>
          <w:rStyle w:val="Refdenotaderodap"/>
        </w:rPr>
        <w:footnoteReference w:id="1"/>
      </w:r>
      <w:r w:rsidR="00CB404D">
        <w:t xml:space="preserve"> do Código de Processo Civil (CPC).</w:t>
      </w:r>
    </w:p>
    <w:p w:rsidR="00B44586" w:rsidRPr="00C34E18" w:rsidRDefault="00B44586" w:rsidP="00B44586">
      <w:pPr>
        <w:pBdr>
          <w:bottom w:val="single" w:sz="18" w:space="1" w:color="FFC000" w:themeColor="accent4"/>
        </w:pBdr>
        <w:spacing w:before="240" w:after="0" w:line="240" w:lineRule="auto"/>
        <w:jc w:val="both"/>
        <w:rPr>
          <w:rFonts w:ascii="Gill Sans MT" w:hAnsi="Gill Sans MT" w:cs="Arial"/>
          <w:smallCaps/>
          <w:sz w:val="28"/>
          <w:szCs w:val="28"/>
        </w:rPr>
      </w:pPr>
      <w:r w:rsidRPr="00C34E18">
        <w:rPr>
          <w:rFonts w:ascii="Gill Sans MT" w:hAnsi="Gill Sans MT" w:cs="Arial"/>
          <w:smallCaps/>
          <w:sz w:val="28"/>
          <w:szCs w:val="28"/>
        </w:rPr>
        <w:t>I</w:t>
      </w:r>
      <w:r>
        <w:rPr>
          <w:rFonts w:ascii="Gill Sans MT" w:hAnsi="Gill Sans MT" w:cs="Arial"/>
          <w:smallCaps/>
          <w:sz w:val="28"/>
          <w:szCs w:val="28"/>
        </w:rPr>
        <w:t>I</w:t>
      </w:r>
      <w:r w:rsidRPr="00C34E18">
        <w:rPr>
          <w:rFonts w:ascii="Gill Sans MT" w:hAnsi="Gill Sans MT" w:cs="Arial"/>
          <w:smallCaps/>
          <w:sz w:val="28"/>
          <w:szCs w:val="28"/>
        </w:rPr>
        <w:t xml:space="preserve"> – </w:t>
      </w:r>
      <w:r>
        <w:rPr>
          <w:rFonts w:ascii="Gill Sans MT" w:hAnsi="Gill Sans MT" w:cs="Arial"/>
          <w:smallCaps/>
          <w:sz w:val="28"/>
          <w:szCs w:val="28"/>
        </w:rPr>
        <w:t>Considerações Iniciais</w:t>
      </w:r>
    </w:p>
    <w:p w:rsidR="00B44586" w:rsidRDefault="00B44586" w:rsidP="00B44586">
      <w:pPr>
        <w:pStyle w:val="NormalArial"/>
        <w:spacing w:before="240" w:after="240" w:line="360" w:lineRule="auto"/>
        <w:ind w:firstLine="1134"/>
        <w:jc w:val="both"/>
      </w:pPr>
      <w:r>
        <w:t>Este d. Juízo</w:t>
      </w:r>
      <w:r w:rsidR="007458AC">
        <w:t xml:space="preserve"> </w:t>
      </w:r>
      <w:r w:rsidR="00C907D2">
        <w:t>solicitou</w:t>
      </w:r>
      <w:r w:rsidR="007458AC">
        <w:t xml:space="preserve"> </w:t>
      </w:r>
      <w:r w:rsidR="00C907D2">
        <w:t>a</w:t>
      </w:r>
      <w:r w:rsidR="007458AC">
        <w:t xml:space="preserve">o Departamento de Precatório do Tribunal de Justiça do Estado do Mato Grosso do Sul (TJMS) </w:t>
      </w:r>
      <w:r w:rsidR="00C907D2">
        <w:t xml:space="preserve">esclarecimentos acerca da </w:t>
      </w:r>
      <w:r w:rsidR="00C907D2">
        <w:lastRenderedPageBreak/>
        <w:t>redução do valor tido como incontroverso e quais servidores foram impactados por essa redução</w:t>
      </w:r>
      <w:r>
        <w:t>.</w:t>
      </w:r>
    </w:p>
    <w:p w:rsidR="0074339C" w:rsidRDefault="007458AC" w:rsidP="00B44586">
      <w:pPr>
        <w:pStyle w:val="NormalArial"/>
        <w:spacing w:before="240" w:after="240" w:line="360" w:lineRule="auto"/>
        <w:ind w:firstLine="1134"/>
        <w:jc w:val="both"/>
      </w:pPr>
      <w:r>
        <w:t>Com intuito de atender a r. decisão, foram apresentados os</w:t>
      </w:r>
      <w:r w:rsidR="00C907D2">
        <w:t xml:space="preserve"> esclarecimentos ora impugnados,</w:t>
      </w:r>
      <w:r>
        <w:t xml:space="preserve"> cálculos ora analisados em mídia eletrônica </w:t>
      </w:r>
      <w:r w:rsidR="0074339C">
        <w:t>e um laudo/relatório de cálculo de liquidação de sentença assinado pela servidora Monica Vogl.</w:t>
      </w:r>
    </w:p>
    <w:p w:rsidR="00195EB6" w:rsidRDefault="00195EB6" w:rsidP="00B44586">
      <w:pPr>
        <w:pStyle w:val="NormalArial"/>
        <w:spacing w:before="240" w:after="240" w:line="360" w:lineRule="auto"/>
        <w:ind w:firstLine="1134"/>
        <w:jc w:val="both"/>
      </w:pPr>
      <w:r>
        <w:t xml:space="preserve">Entretanto, </w:t>
      </w:r>
      <w:r w:rsidR="00005B6D">
        <w:t>os cálculos apresentados pelo Departamento de Precatório do TJMS</w:t>
      </w:r>
      <w:r w:rsidR="00D47BA2">
        <w:t xml:space="preserve"> e os esclarecimentos ora combatido</w:t>
      </w:r>
      <w:r w:rsidR="00AD76EE">
        <w:t xml:space="preserve"> não pode ser acolhido</w:t>
      </w:r>
      <w:r w:rsidR="000D1DA5">
        <w:t xml:space="preserve"> por este d. Juízo</w:t>
      </w:r>
      <w:r w:rsidR="00391994">
        <w:t xml:space="preserve"> como se denota dos fundamentos a seguir</w:t>
      </w:r>
      <w:r w:rsidR="000D1DA5">
        <w:t>.</w:t>
      </w:r>
    </w:p>
    <w:p w:rsidR="000D1DA5" w:rsidRPr="00C34E18" w:rsidRDefault="000D1DA5" w:rsidP="000D1DA5">
      <w:pPr>
        <w:pBdr>
          <w:bottom w:val="single" w:sz="18" w:space="1" w:color="FFC000" w:themeColor="accent4"/>
        </w:pBdr>
        <w:spacing w:before="240" w:after="0" w:line="240" w:lineRule="auto"/>
        <w:jc w:val="both"/>
        <w:rPr>
          <w:rFonts w:ascii="Gill Sans MT" w:hAnsi="Gill Sans MT" w:cs="Arial"/>
          <w:smallCaps/>
          <w:sz w:val="28"/>
          <w:szCs w:val="28"/>
        </w:rPr>
      </w:pPr>
      <w:r w:rsidRPr="00C34E18">
        <w:rPr>
          <w:rFonts w:ascii="Gill Sans MT" w:hAnsi="Gill Sans MT" w:cs="Arial"/>
          <w:smallCaps/>
          <w:sz w:val="28"/>
          <w:szCs w:val="28"/>
        </w:rPr>
        <w:t>I</w:t>
      </w:r>
      <w:r>
        <w:rPr>
          <w:rFonts w:ascii="Gill Sans MT" w:hAnsi="Gill Sans MT" w:cs="Arial"/>
          <w:smallCaps/>
          <w:sz w:val="28"/>
          <w:szCs w:val="28"/>
        </w:rPr>
        <w:t>II</w:t>
      </w:r>
      <w:r w:rsidRPr="00C34E18">
        <w:rPr>
          <w:rFonts w:ascii="Gill Sans MT" w:hAnsi="Gill Sans MT" w:cs="Arial"/>
          <w:smallCaps/>
          <w:sz w:val="28"/>
          <w:szCs w:val="28"/>
        </w:rPr>
        <w:t xml:space="preserve"> – </w:t>
      </w:r>
      <w:r>
        <w:rPr>
          <w:rFonts w:ascii="Gill Sans MT" w:hAnsi="Gill Sans MT" w:cs="Arial"/>
          <w:smallCaps/>
          <w:sz w:val="28"/>
          <w:szCs w:val="28"/>
        </w:rPr>
        <w:t>Da Impugnação ao Cálculo</w:t>
      </w:r>
      <w:r w:rsidR="00AC7F33">
        <w:rPr>
          <w:rFonts w:ascii="Gill Sans MT" w:hAnsi="Gill Sans MT" w:cs="Arial"/>
          <w:smallCaps/>
          <w:sz w:val="28"/>
          <w:szCs w:val="28"/>
        </w:rPr>
        <w:t xml:space="preserve"> e Esclarecimentos</w:t>
      </w:r>
    </w:p>
    <w:p w:rsidR="000D1DA5" w:rsidRDefault="00AB16A0" w:rsidP="000D1DA5">
      <w:pPr>
        <w:pStyle w:val="NormalArial"/>
        <w:spacing w:before="240" w:after="240" w:line="360" w:lineRule="auto"/>
        <w:ind w:firstLine="1134"/>
        <w:jc w:val="both"/>
      </w:pPr>
      <w:r>
        <w:t>Ao analisarmos os</w:t>
      </w:r>
      <w:r w:rsidR="00AC7F33">
        <w:t xml:space="preserve"> esclarecimentos,</w:t>
      </w:r>
      <w:r>
        <w:t xml:space="preserve"> cálculos e</w:t>
      </w:r>
      <w:r w:rsidR="00EB33FE">
        <w:t xml:space="preserve"> o</w:t>
      </w:r>
      <w:r>
        <w:t xml:space="preserve"> relatório juntado aos autos</w:t>
      </w:r>
      <w:r w:rsidR="00AA21FA">
        <w:t>,</w:t>
      </w:r>
      <w:r>
        <w:t xml:space="preserve"> percebemos claramente que o Departamento de Precatório do TJMS exorbitou a competência atribuída </w:t>
      </w:r>
      <w:r w:rsidR="001D5913">
        <w:t>por</w:t>
      </w:r>
      <w:r>
        <w:t xml:space="preserve"> este d. Juízo e acabou por violar diversas normas e precedentes do </w:t>
      </w:r>
      <w:r w:rsidR="00AC7F33">
        <w:t xml:space="preserve">e. </w:t>
      </w:r>
      <w:r>
        <w:t>TJMS.</w:t>
      </w:r>
    </w:p>
    <w:p w:rsidR="00ED5460" w:rsidRDefault="00391994" w:rsidP="000D1DA5">
      <w:pPr>
        <w:pStyle w:val="NormalArial"/>
        <w:spacing w:before="240" w:after="240" w:line="360" w:lineRule="auto"/>
        <w:ind w:firstLine="1134"/>
        <w:jc w:val="both"/>
      </w:pPr>
      <w:r>
        <w:t>Inicialmente</w:t>
      </w:r>
      <w:r w:rsidR="00AA21FA">
        <w:t>,</w:t>
      </w:r>
      <w:r>
        <w:t xml:space="preserve"> cumpre esclarecer que a diligência determinada ao Departamento de Precatório do TJMS era simplesmente atualizar o crédito exequendo apontado na inicial</w:t>
      </w:r>
      <w:r w:rsidR="00ED5460">
        <w:t>.</w:t>
      </w:r>
    </w:p>
    <w:p w:rsidR="00391994" w:rsidRDefault="0018112C" w:rsidP="000D1DA5">
      <w:pPr>
        <w:pStyle w:val="NormalArial"/>
        <w:spacing w:before="240" w:after="240" w:line="360" w:lineRule="auto"/>
        <w:ind w:firstLine="1134"/>
        <w:jc w:val="both"/>
      </w:pPr>
      <w:r>
        <w:t>Porém</w:t>
      </w:r>
      <w:r w:rsidR="00ED5460">
        <w:t xml:space="preserve">, o Departamento de Precatório do TJMS, em flagrante desrespeito </w:t>
      </w:r>
      <w:r w:rsidR="00AA21FA">
        <w:t>à</w:t>
      </w:r>
      <w:r w:rsidR="00ED5460">
        <w:t xml:space="preserve"> determinação deste d. Juízo e ao ordenamento jurídico pátrio, resolveu realizar a apuração do crédito principal</w:t>
      </w:r>
      <w:r w:rsidR="007054F8">
        <w:t xml:space="preserve"> – sem </w:t>
      </w:r>
      <w:r w:rsidR="00593FA0">
        <w:t>observar</w:t>
      </w:r>
      <w:r w:rsidR="007054F8">
        <w:t xml:space="preserve"> o título executivo judicial e os precedentes do TJMS –</w:t>
      </w:r>
      <w:r w:rsidR="00593FA0">
        <w:t xml:space="preserve">, </w:t>
      </w:r>
      <w:r w:rsidR="00ED5460">
        <w:t>atualizá-lo</w:t>
      </w:r>
      <w:r w:rsidR="00593FA0">
        <w:t xml:space="preserve"> e emitir juízo de valor sobre o conjunto probatório constante dos autos</w:t>
      </w:r>
      <w:r w:rsidR="007054F8">
        <w:t xml:space="preserve">. </w:t>
      </w:r>
    </w:p>
    <w:p w:rsidR="00545A0C" w:rsidRDefault="00545A0C" w:rsidP="000D1DA5">
      <w:pPr>
        <w:pStyle w:val="NormalArial"/>
        <w:spacing w:before="240" w:after="240" w:line="360" w:lineRule="auto"/>
        <w:ind w:firstLine="1134"/>
        <w:jc w:val="both"/>
      </w:pPr>
      <w:r>
        <w:t>Em decorrência dos equívocos noticiados, o Departamento de Precatório do TJMS afirmou existir um excesso de execução reduzindo substancialmente o crédito executado</w:t>
      </w:r>
      <w:r w:rsidR="00AC7F33">
        <w:t>, inclusive o valor tido como incontroverso e inscrito em precatório</w:t>
      </w:r>
      <w:r>
        <w:t>.</w:t>
      </w:r>
    </w:p>
    <w:p w:rsidR="00E56B3D" w:rsidRDefault="0018112C" w:rsidP="000D1DA5">
      <w:pPr>
        <w:pStyle w:val="NormalArial"/>
        <w:spacing w:before="240" w:after="240" w:line="360" w:lineRule="auto"/>
        <w:ind w:firstLine="1134"/>
        <w:jc w:val="both"/>
      </w:pPr>
      <w:r>
        <w:t>Todavia, o cumprimento da incumbência imposta ao Departamento de Precatório do TJMS não é o momento oportuno</w:t>
      </w:r>
      <w:r w:rsidR="008B5D51">
        <w:t>,</w:t>
      </w:r>
      <w:r>
        <w:t xml:space="preserve"> muito menos a via adequada</w:t>
      </w:r>
      <w:r w:rsidR="008B5D51">
        <w:t>,</w:t>
      </w:r>
      <w:r>
        <w:t xml:space="preserve"> para se tratar do excesso de execução nos termos do art. 741, inciso V, da Lei Federal n. 5.869/1973: </w:t>
      </w:r>
    </w:p>
    <w:p w:rsidR="00E56B3D" w:rsidRDefault="00E56B3D" w:rsidP="00AA21FA">
      <w:pPr>
        <w:pStyle w:val="NormalArial"/>
        <w:pBdr>
          <w:left w:val="single" w:sz="18" w:space="4" w:color="FFC000" w:themeColor="accent4"/>
        </w:pBdr>
        <w:ind w:left="2268"/>
        <w:jc w:val="both"/>
      </w:pPr>
      <w:r>
        <w:lastRenderedPageBreak/>
        <w:t>Art. 741. Na execução contra a Fazenda Pública, os embargos só poderão versar sobre:</w:t>
      </w:r>
      <w:r w:rsidR="0018112C">
        <w:t xml:space="preserve"> [...]</w:t>
      </w:r>
    </w:p>
    <w:p w:rsidR="00545A0C" w:rsidRDefault="00E56B3D" w:rsidP="0018112C">
      <w:pPr>
        <w:pStyle w:val="NormalArial"/>
        <w:pBdr>
          <w:left w:val="single" w:sz="18" w:space="4" w:color="FFC000" w:themeColor="accent4"/>
        </w:pBdr>
        <w:ind w:left="2268"/>
        <w:jc w:val="both"/>
      </w:pPr>
      <w:r>
        <w:t>V – excesso de execução</w:t>
      </w:r>
      <w:r w:rsidR="0018112C">
        <w:t xml:space="preserve">; </w:t>
      </w:r>
    </w:p>
    <w:p w:rsidR="000D1DA5" w:rsidRDefault="001C7139" w:rsidP="000D1DA5">
      <w:pPr>
        <w:pStyle w:val="NormalArial"/>
        <w:spacing w:before="240" w:after="240" w:line="360" w:lineRule="auto"/>
        <w:ind w:firstLine="1134"/>
        <w:jc w:val="both"/>
      </w:pPr>
      <w:r>
        <w:t>De acordo com a legislação vigente à época, o excesso de execução deveria ser arguido e comprovado por meio de embargos à execução para que fosse assegurado ao credor/embargado as garantias constitucionais do devido processo legal, contraditório e ampla defesa</w:t>
      </w:r>
      <w:r w:rsidR="00493C7A">
        <w:t>, previstos no art. 5º, incisos LIV e LV</w:t>
      </w:r>
      <w:r w:rsidR="00493C7A" w:rsidRPr="00391994">
        <w:rPr>
          <w:rStyle w:val="Refdenotaderodap"/>
        </w:rPr>
        <w:footnoteReference w:id="2"/>
      </w:r>
      <w:r w:rsidR="00493C7A">
        <w:t>, da Constituição Federal (CF)</w:t>
      </w:r>
      <w:r>
        <w:t>.</w:t>
      </w:r>
    </w:p>
    <w:p w:rsidR="00235A30" w:rsidRDefault="00EB33FE" w:rsidP="00235A30">
      <w:pPr>
        <w:pStyle w:val="NormalArial"/>
        <w:spacing w:before="240" w:after="240" w:line="360" w:lineRule="auto"/>
        <w:ind w:firstLine="1134"/>
        <w:jc w:val="both"/>
      </w:pPr>
      <w:r>
        <w:t xml:space="preserve">O executado até tentou tratar do excesso de execução </w:t>
      </w:r>
      <w:r w:rsidR="00D259E2">
        <w:t>pela via adequada, embargos à execução</w:t>
      </w:r>
      <w:r w:rsidR="00AA21FA">
        <w:t>. T</w:t>
      </w:r>
      <w:r>
        <w:t xml:space="preserve">odavia, a referida ação foi rejeitada liminarmente </w:t>
      </w:r>
      <w:r w:rsidR="002A7DB1">
        <w:t>vez que</w:t>
      </w:r>
      <w:r w:rsidR="00235A30">
        <w:t xml:space="preserve"> não </w:t>
      </w:r>
      <w:r w:rsidR="002A7DB1">
        <w:t xml:space="preserve">foi atendida </w:t>
      </w:r>
      <w:r w:rsidR="00235A30">
        <w:t xml:space="preserve">a formalidade </w:t>
      </w:r>
      <w:r w:rsidR="00840E3C">
        <w:t>imposta pelo</w:t>
      </w:r>
      <w:r w:rsidR="00235A30">
        <w:t xml:space="preserve"> art. 73</w:t>
      </w:r>
      <w:r w:rsidR="00840E3C">
        <w:t>9</w:t>
      </w:r>
      <w:r w:rsidR="00235A30">
        <w:t>-A, §5º</w:t>
      </w:r>
      <w:r w:rsidR="00840E3C">
        <w:rPr>
          <w:rStyle w:val="Refdenotaderodap"/>
        </w:rPr>
        <w:footnoteReference w:id="3"/>
      </w:r>
      <w:r w:rsidR="00235A30">
        <w:t>, da Lei Federal n. 5.</w:t>
      </w:r>
      <w:r w:rsidR="00D259E2">
        <w:t>869/1973 consoante a r. decisão proferida pelo Superior Tribunal de Justiça (STJ) nos autos do Recurso Especial n.</w:t>
      </w:r>
      <w:r w:rsidR="00235A30">
        <w:t xml:space="preserve"> </w:t>
      </w:r>
      <w:r w:rsidR="00D259E2">
        <w:t>1192529/MS:</w:t>
      </w:r>
    </w:p>
    <w:p w:rsidR="00BD1EAC" w:rsidRDefault="00BD1EAC" w:rsidP="00BD1EAC">
      <w:pPr>
        <w:pStyle w:val="NormalArial"/>
        <w:pBdr>
          <w:left w:val="single" w:sz="18" w:space="4" w:color="FFC000" w:themeColor="accent4"/>
        </w:pBdr>
        <w:ind w:left="2268"/>
        <w:jc w:val="both"/>
      </w:pPr>
      <w:r>
        <w:t>ADMINISTRATIVO. RECURSO ESPECIAL. SERV</w:t>
      </w:r>
      <w:r w:rsidR="00A3008E">
        <w:t xml:space="preserve">IDOR PÚBLICO ESTADUAL. EMBARGOS </w:t>
      </w:r>
      <w:r>
        <w:t>À EXECUÇÃO. ALEGAÇÃO DE EXCESSO. ART. 739-A, § 5º, DO CPC. APLICAÇÃO CONTRA A FAZENDA PÚBLICA. CONCESSÃO DE PRAZO PARA ELABORAÇÃO DOS CÁLCULOS DO VALOR QUE ENTENDE COMO DEVIDO. IMPOSSIBILIDADE. RECURSO CONHECIDO E PROVIDO.</w:t>
      </w:r>
    </w:p>
    <w:p w:rsidR="00BD1EAC" w:rsidRDefault="00BD1EAC" w:rsidP="00BD1EAC">
      <w:pPr>
        <w:pStyle w:val="NormalArial"/>
        <w:pBdr>
          <w:left w:val="single" w:sz="18" w:space="4" w:color="FFC000" w:themeColor="accent4"/>
        </w:pBdr>
        <w:ind w:left="2268"/>
        <w:jc w:val="both"/>
      </w:pPr>
      <w:r>
        <w:t>1. A regra contida no art. 739-A, § 5º, do CPC, que regula os embargos do devedor fundados em excesso de execução, é aplicável contra a Fazenda Pública, pelo que esta deve instruir a petição inicial com memória de cálculo indicando o valor que entende correto, sob pena de os embargos serem liminarmente rejeitados.</w:t>
      </w:r>
    </w:p>
    <w:p w:rsidR="00582DC2" w:rsidRDefault="00BD1EAC" w:rsidP="00BD1EAC">
      <w:pPr>
        <w:pStyle w:val="NormalArial"/>
        <w:pBdr>
          <w:left w:val="single" w:sz="18" w:space="4" w:color="FFC000" w:themeColor="accent4"/>
        </w:pBdr>
        <w:ind w:left="2268"/>
        <w:jc w:val="both"/>
      </w:pPr>
      <w:r>
        <w:t>2. Recurso especial conhecido e provido. (STJ. REsp 1192529/MS, Rel. Ministro TEORI ALBINO ZAVASCKI, Rel. p/ Acórdão Ministro ARNALDO ESTEVES LIMA, PRIMEIRA TURMA, julgado em 09/11/2010, DJe 25/11/2010)</w:t>
      </w:r>
      <w:r>
        <w:rPr>
          <w:rStyle w:val="Refdenotaderodap"/>
        </w:rPr>
        <w:footnoteReference w:id="4"/>
      </w:r>
      <w:r>
        <w:t>.</w:t>
      </w:r>
    </w:p>
    <w:p w:rsidR="00B42B1B" w:rsidRDefault="00CC186B" w:rsidP="00CC186B">
      <w:pPr>
        <w:pStyle w:val="NormalArial"/>
        <w:spacing w:before="240" w:after="240" w:line="360" w:lineRule="auto"/>
        <w:ind w:firstLine="1134"/>
        <w:jc w:val="both"/>
      </w:pPr>
      <w:r>
        <w:lastRenderedPageBreak/>
        <w:t xml:space="preserve">Com base nas premissa apontadas, podemos afirmar categoricamente que a </w:t>
      </w:r>
      <w:r w:rsidR="00F11F30">
        <w:t>quantificação do crédito</w:t>
      </w:r>
      <w:r>
        <w:t xml:space="preserve"> </w:t>
      </w:r>
      <w:r w:rsidR="00F11F30">
        <w:t>realizada</w:t>
      </w:r>
      <w:r>
        <w:t xml:space="preserve"> pelo Departamento de Precatório do TJMS</w:t>
      </w:r>
      <w:r w:rsidR="00B42B1B">
        <w:t xml:space="preserve"> não poderia “reconhecer” ou emitir juízo de valor sobre a existência de excesso de execução visto que preclusa esta questão</w:t>
      </w:r>
      <w:r w:rsidR="00B42B1B">
        <w:rPr>
          <w:rStyle w:val="Refdenotaderodap"/>
        </w:rPr>
        <w:footnoteReference w:id="5"/>
      </w:r>
      <w:r w:rsidR="00B42B1B">
        <w:t>.</w:t>
      </w:r>
      <w:r w:rsidR="00AB027B">
        <w:t xml:space="preserve"> </w:t>
      </w:r>
      <w:r w:rsidR="00E6629F">
        <w:t xml:space="preserve"> </w:t>
      </w:r>
      <w:r w:rsidR="00AB027B">
        <w:t xml:space="preserve">Aliás, </w:t>
      </w:r>
      <w:r w:rsidR="00E6629F">
        <w:t>é vedado ao judiciário reanalisar questões já decididas</w:t>
      </w:r>
      <w:r w:rsidR="00A11028">
        <w:t xml:space="preserve"> conforme preceitua as normas dos art. 505 e 508 do CPC:</w:t>
      </w:r>
    </w:p>
    <w:p w:rsidR="00AB027B" w:rsidRDefault="00AB027B" w:rsidP="00A11028">
      <w:pPr>
        <w:pStyle w:val="NormalArial"/>
        <w:pBdr>
          <w:left w:val="single" w:sz="18" w:space="4" w:color="FFC000" w:themeColor="accent4"/>
        </w:pBdr>
        <w:ind w:left="2268"/>
        <w:jc w:val="both"/>
      </w:pPr>
      <w:r>
        <w:t>Art. 505.  Nenhum juiz decidirá novamente as questões já decididas relativas à mesma lide, salvo:</w:t>
      </w:r>
    </w:p>
    <w:p w:rsidR="00AB027B" w:rsidRDefault="00AB027B" w:rsidP="00A11028">
      <w:pPr>
        <w:pStyle w:val="NormalArial"/>
        <w:pBdr>
          <w:left w:val="single" w:sz="18" w:space="4" w:color="FFC000" w:themeColor="accent4"/>
        </w:pBdr>
        <w:ind w:left="2268"/>
        <w:jc w:val="both"/>
      </w:pPr>
      <w:r>
        <w:t>I - se, tratando-se de relação jurídica de trato continuado, sobreveio modificação no estado de fato ou de direito, caso em que poderá a parte pedir a revisão do que foi estatuído na sentença;</w:t>
      </w:r>
    </w:p>
    <w:p w:rsidR="00AB027B" w:rsidRDefault="00AB027B" w:rsidP="00A11028">
      <w:pPr>
        <w:pStyle w:val="NormalArial"/>
        <w:pBdr>
          <w:left w:val="single" w:sz="18" w:space="4" w:color="FFC000" w:themeColor="accent4"/>
        </w:pBdr>
        <w:ind w:left="2268"/>
        <w:jc w:val="both"/>
      </w:pPr>
      <w:r>
        <w:t>II - nos demais casos prescritos em lei.</w:t>
      </w:r>
    </w:p>
    <w:p w:rsidR="00AB027B" w:rsidRDefault="00AB027B" w:rsidP="00A11028">
      <w:pPr>
        <w:pStyle w:val="NormalArial"/>
        <w:ind w:left="2268"/>
        <w:jc w:val="both"/>
      </w:pPr>
    </w:p>
    <w:p w:rsidR="00AB027B" w:rsidRDefault="00AB027B" w:rsidP="00A11028">
      <w:pPr>
        <w:pStyle w:val="NormalArial"/>
        <w:pBdr>
          <w:left w:val="single" w:sz="18" w:space="4" w:color="FFC000" w:themeColor="accent4"/>
        </w:pBdr>
        <w:ind w:left="2268"/>
        <w:jc w:val="both"/>
      </w:pPr>
      <w:r>
        <w:t>Art. 508.  Transitada em julgado a decisão de mérito, considerar-se-ão deduzidas e repelidas todas as alegações e as defesas que a parte poderia opor tanto ao acolhimento quanto à rejeição do pedido.</w:t>
      </w:r>
    </w:p>
    <w:p w:rsidR="00CC186B" w:rsidRDefault="00D9178A" w:rsidP="00CC186B">
      <w:pPr>
        <w:pStyle w:val="NormalArial"/>
        <w:spacing w:before="240" w:after="240" w:line="360" w:lineRule="auto"/>
        <w:ind w:firstLine="1134"/>
        <w:jc w:val="both"/>
      </w:pPr>
      <w:r>
        <w:t>Ademais, o STJ, ao analisar Embargos de Declaração em Recurso Especial n. 1192529/MS, reconheceu a impossibilidade de rediscussão das matérias q</w:t>
      </w:r>
      <w:r w:rsidR="00AC752D">
        <w:t>ue deveriam ser tratadas através dos embargos à execução, dentre elas o excesso de execução</w:t>
      </w:r>
      <w:r w:rsidR="008B5D51">
        <w:t>. Vejamos o citado precedente</w:t>
      </w:r>
      <w:r w:rsidR="00AC752D">
        <w:t>:</w:t>
      </w:r>
    </w:p>
    <w:p w:rsidR="00582DC2" w:rsidRDefault="00582DC2" w:rsidP="000D4607">
      <w:pPr>
        <w:pStyle w:val="NormalArial"/>
        <w:pBdr>
          <w:left w:val="single" w:sz="18" w:space="4" w:color="FFC000" w:themeColor="accent4"/>
        </w:pBdr>
        <w:ind w:left="2268"/>
        <w:jc w:val="both"/>
      </w:pPr>
      <w:r>
        <w:t>ADMINISTRATIVO. PROCESSUAL CIVIL. EMBARGOS DECLARATÓRIOS NO RECURSO ESPECIAL. EMBARGOS À EXECUÇÃO. MEMÓRI</w:t>
      </w:r>
      <w:r w:rsidR="000D4607">
        <w:t xml:space="preserve">A DE CÁLCULO. NÃO APRESENTAÇÃO. </w:t>
      </w:r>
      <w:r>
        <w:t xml:space="preserve">DILAÇÃO DO PRAZO. IMPOSSIBILIDADE. EXTINÇÃO DO FEITO SEM A RESOLUÇÃO DO MÉRITO. ART. 739-A, §5º, DO CPC. </w:t>
      </w:r>
      <w:r w:rsidR="000D4607">
        <w:t>[...]</w:t>
      </w:r>
      <w:r>
        <w:t>. NÃO OCORRÊNCIA. ENRIQUECIMENTO SEM CAUSA DOS SERVIDORES SUBSTITUÍDOS. QUESTÃO VINCULADA AO MÉRITO DOS EMBARGOS À EXECUÇÃO. EXAME. IMPOSSIBILIDADE. MATÉRIA PRECLUSA.</w:t>
      </w:r>
      <w:r w:rsidR="000D4607">
        <w:t xml:space="preserve"> [...]</w:t>
      </w:r>
    </w:p>
    <w:p w:rsidR="00582DC2" w:rsidRDefault="00582DC2" w:rsidP="000D4607">
      <w:pPr>
        <w:pStyle w:val="NormalArial"/>
        <w:pBdr>
          <w:left w:val="single" w:sz="18" w:space="4" w:color="FFC000" w:themeColor="accent4"/>
        </w:pBdr>
        <w:ind w:left="2268"/>
        <w:jc w:val="both"/>
      </w:pPr>
      <w:r>
        <w:t>10. É impertinente a alegação de enriquecimento ilícito dos servidores substituídos, haja vista que tal matéria encontra-se atrelada à questão de fundo deduzida nos embargos à execução, extinto sem a resolução do mérito, nos termos do art. 739-A, § 5º, parte final, do CPC.</w:t>
      </w:r>
    </w:p>
    <w:p w:rsidR="00582DC2" w:rsidRDefault="000D4607" w:rsidP="000D4607">
      <w:pPr>
        <w:pStyle w:val="NormalArial"/>
        <w:pBdr>
          <w:left w:val="single" w:sz="18" w:space="4" w:color="FFC000" w:themeColor="accent4"/>
        </w:pBdr>
        <w:ind w:left="2268"/>
        <w:jc w:val="both"/>
      </w:pPr>
      <w:r>
        <w:t xml:space="preserve">[...] </w:t>
      </w:r>
      <w:r w:rsidR="00582DC2">
        <w:t>(</w:t>
      </w:r>
      <w:r>
        <w:t xml:space="preserve">STJ. </w:t>
      </w:r>
      <w:r w:rsidR="00582DC2">
        <w:t>EDcl no REsp 1192529/MS, Rel. Ministro TEORI ALBINO ZAVASCKI, Rel. p/ Acórdão Ministro ARNALDO ESTEVES LIMA, PRIMEIRA TURMA, julgado em 26/02/2013, DJe 05/03/2013)</w:t>
      </w:r>
      <w:r w:rsidR="00727A54">
        <w:rPr>
          <w:rStyle w:val="Refdenotaderodap"/>
        </w:rPr>
        <w:footnoteReference w:id="6"/>
      </w:r>
      <w:r>
        <w:t>.</w:t>
      </w:r>
    </w:p>
    <w:p w:rsidR="003D5F3F" w:rsidRDefault="003D5F3F" w:rsidP="003D5F3F">
      <w:pPr>
        <w:pStyle w:val="NormalArial"/>
        <w:spacing w:before="240" w:after="240" w:line="360" w:lineRule="auto"/>
        <w:ind w:firstLine="1134"/>
        <w:jc w:val="both"/>
      </w:pPr>
      <w:r>
        <w:lastRenderedPageBreak/>
        <w:t xml:space="preserve">Lembramos que incumbiria ao executado utilizar-se da via adequada, embargos à execução e não a presente lide, para desincumbir-se satisfatoriamente do seu ônus probatório em demonstrar </w:t>
      </w:r>
      <w:r w:rsidR="00294FB3">
        <w:t>que na</w:t>
      </w:r>
      <w:r>
        <w:t xml:space="preserve"> antecipação salarial estaria incluso/embutido o </w:t>
      </w:r>
      <w:r w:rsidR="00E46D01">
        <w:t>ATS.</w:t>
      </w:r>
      <w:r>
        <w:t xml:space="preserve"> </w:t>
      </w:r>
      <w:r w:rsidR="00E46D01">
        <w:t>C</w:t>
      </w:r>
      <w:r w:rsidR="00554587">
        <w:t>ontudo</w:t>
      </w:r>
      <w:r>
        <w:t xml:space="preserve">, </w:t>
      </w:r>
      <w:r w:rsidR="00554587">
        <w:t xml:space="preserve">em decorrência da </w:t>
      </w:r>
      <w:r>
        <w:t>noticiada rejeição liminar dos embargos</w:t>
      </w:r>
      <w:r w:rsidR="00554587">
        <w:t xml:space="preserve"> não logrou êxito</w:t>
      </w:r>
      <w:r>
        <w:t>.</w:t>
      </w:r>
    </w:p>
    <w:p w:rsidR="00474D22" w:rsidRDefault="00474D22" w:rsidP="00474D22">
      <w:pPr>
        <w:pStyle w:val="NormalArial"/>
        <w:spacing w:before="240" w:after="240" w:line="360" w:lineRule="auto"/>
        <w:ind w:firstLine="1134"/>
        <w:jc w:val="both"/>
      </w:pPr>
      <w:r w:rsidRPr="00F41F47">
        <w:t>Não obstante às afrontas ao direito processual apontadas</w:t>
      </w:r>
      <w:r>
        <w:t xml:space="preserve">, </w:t>
      </w:r>
      <w:r w:rsidRPr="00F41F47">
        <w:t>ao julgar ação n. 0046218-93.2011.8.12.0001</w:t>
      </w:r>
      <w:r>
        <w:t>,</w:t>
      </w:r>
      <w:r w:rsidRPr="00F41F47">
        <w:t xml:space="preserve"> com causa de pedir idêntica à presente,</w:t>
      </w:r>
      <w:r>
        <w:t xml:space="preserve"> o TJMS</w:t>
      </w:r>
      <w:r w:rsidRPr="00F41F47">
        <w:t xml:space="preserve"> reconheceu </w:t>
      </w:r>
      <w:r>
        <w:t>ser a</w:t>
      </w:r>
      <w:r w:rsidRPr="00F41F47">
        <w:t xml:space="preserve"> </w:t>
      </w:r>
      <w:r w:rsidR="00DF3E08">
        <w:t xml:space="preserve">atual </w:t>
      </w:r>
      <w:r w:rsidRPr="00F41F47">
        <w:t>afirmação do Departamento de Precatório do TJMS incorreta uma vez que a antecipação salarial não engloba o ATS, assim como, o referido adicional deve ter como base de cálculo a remuneração do servidor</w:t>
      </w:r>
      <w:r>
        <w:t>, como apurado pelo exequente no oportunidade de distribuição da lide</w:t>
      </w:r>
      <w:r w:rsidRPr="00F41F47">
        <w:t>, vejamos:</w:t>
      </w:r>
    </w:p>
    <w:p w:rsidR="00914BEA" w:rsidRDefault="00474D22" w:rsidP="0046488D">
      <w:pPr>
        <w:pStyle w:val="NormalArial"/>
        <w:pBdr>
          <w:left w:val="single" w:sz="18" w:space="4" w:color="FFC000" w:themeColor="accent4"/>
        </w:pBdr>
        <w:ind w:left="2268"/>
        <w:jc w:val="both"/>
      </w:pPr>
      <w:r>
        <w:t xml:space="preserve"> </w:t>
      </w:r>
      <w:r w:rsidR="00914BEA">
        <w:t>[...] Não havendo provas de que a antecipação salarial já teria embutido o valor referente ao adicional por tempo de serviço, não merece acolhimento a alegação de bis in idem. [...]</w:t>
      </w:r>
    </w:p>
    <w:p w:rsidR="00914BEA" w:rsidRDefault="00914BEA" w:rsidP="0046488D">
      <w:pPr>
        <w:pStyle w:val="NormalArial"/>
        <w:pBdr>
          <w:left w:val="single" w:sz="18" w:space="4" w:color="FFC000" w:themeColor="accent4"/>
        </w:pBdr>
        <w:ind w:left="2268"/>
        <w:jc w:val="both"/>
      </w:pPr>
      <w:r>
        <w:t>No caso dos autos, quando do julgamento da apelação cível n.º 2003.002165-5, este Tribunal resolveu que o adicional por tempo de serviço deveria ser calculado sobre toda a remuneração e não somente sobre o vencimento-base. [...]</w:t>
      </w:r>
    </w:p>
    <w:p w:rsidR="00914BEA" w:rsidRDefault="00914BEA" w:rsidP="0046488D">
      <w:pPr>
        <w:pStyle w:val="NormalArial"/>
        <w:pBdr>
          <w:left w:val="single" w:sz="18" w:space="4" w:color="FFC000" w:themeColor="accent4"/>
        </w:pBdr>
        <w:ind w:left="2268"/>
        <w:jc w:val="both"/>
      </w:pPr>
      <w:r>
        <w:t>Vale registrar que a questão já foi solucionada quando do julgamento da apelação cível n.º 2003.002165-5, ocasião em que ficou delineado que “Quanto à antecipação salarial, é certo que não engloba o adicional por tempo de serviço ou qualquer outra vantagem, porquanto tem por escopo apenas adiantar a correção do vencimento-base do cargo”.</w:t>
      </w:r>
    </w:p>
    <w:p w:rsidR="00914BEA" w:rsidRDefault="00914BEA" w:rsidP="0046488D">
      <w:pPr>
        <w:pStyle w:val="NormalArial"/>
        <w:pBdr>
          <w:left w:val="single" w:sz="18" w:space="4" w:color="FFC000" w:themeColor="accent4"/>
        </w:pBdr>
        <w:ind w:left="2268"/>
        <w:jc w:val="both"/>
      </w:pPr>
      <w:r>
        <w:t>Portanto, sem sucesso o recorrente ao alegar que os recorridos receberam seu adicional por tempo de serviço na forma devida. Não se verificou qualquer bis in idem que justifique o decote da diferença do adicional por tempo de serviço do valor referente à antecipação salarial. [...]</w:t>
      </w:r>
      <w:r w:rsidR="00784A76">
        <w:t xml:space="preserve"> </w:t>
      </w:r>
      <w:r w:rsidR="00784A76" w:rsidRPr="00784A76">
        <w:t>(TJMS. Apelação n. 0046218-93.2011.8.12.0001, Campo Grande, 3ª Câmara Cível, Relator (a):  Des. Oswaldo Rodrigues de Melo, j: 25/03/2014, p:  07/04/2014)</w:t>
      </w:r>
      <w:r w:rsidR="00784A76">
        <w:rPr>
          <w:rStyle w:val="Refdenotaderodap"/>
        </w:rPr>
        <w:footnoteReference w:id="7"/>
      </w:r>
      <w:r w:rsidR="00784A76">
        <w:t>.</w:t>
      </w:r>
    </w:p>
    <w:p w:rsidR="00914BEA" w:rsidRDefault="001E5AE5" w:rsidP="00914BEA">
      <w:pPr>
        <w:pStyle w:val="NormalArial"/>
        <w:spacing w:before="240" w:after="240" w:line="360" w:lineRule="auto"/>
        <w:ind w:firstLine="1134"/>
        <w:jc w:val="both"/>
      </w:pPr>
      <w:r>
        <w:t xml:space="preserve">Portanto, sob todos os ângulos, vê-se claramente a </w:t>
      </w:r>
      <w:r w:rsidR="008645CB">
        <w:t xml:space="preserve">incorreção do cálculo ora combatido tendo em vista a antecipação salarial não englobar o </w:t>
      </w:r>
      <w:r w:rsidR="00E46D01">
        <w:t>ATS</w:t>
      </w:r>
      <w:r w:rsidR="008645CB">
        <w:t xml:space="preserve">, </w:t>
      </w:r>
      <w:r w:rsidR="00AA2B0E">
        <w:t>tal qual</w:t>
      </w:r>
      <w:r w:rsidR="008645CB">
        <w:t xml:space="preserve">, </w:t>
      </w:r>
      <w:r w:rsidR="00AA2B0E">
        <w:t>a</w:t>
      </w:r>
      <w:r w:rsidR="008645CB">
        <w:t xml:space="preserve"> base de cálculo </w:t>
      </w:r>
      <w:r w:rsidR="00AA2B0E">
        <w:t xml:space="preserve">do </w:t>
      </w:r>
      <w:r w:rsidR="00E46D01">
        <w:t>ATS</w:t>
      </w:r>
      <w:r w:rsidR="00AA2B0E">
        <w:t xml:space="preserve"> deve ser remuneração do servidor e não os </w:t>
      </w:r>
      <w:r w:rsidR="00AA2B0E">
        <w:lastRenderedPageBreak/>
        <w:t>vencimentos/salário conforme alegado</w:t>
      </w:r>
      <w:r w:rsidR="008142F4">
        <w:t xml:space="preserve">, motivo pelo qual </w:t>
      </w:r>
      <w:r w:rsidR="00AA2B0E">
        <w:t>impera</w:t>
      </w:r>
      <w:r w:rsidR="008142F4">
        <w:t xml:space="preserve"> o reconhecimento da inexatidão dos cálculos ora impugnados.</w:t>
      </w:r>
    </w:p>
    <w:p w:rsidR="00E46D01" w:rsidRDefault="00ED41AE" w:rsidP="006259A7">
      <w:pPr>
        <w:pStyle w:val="NormalArial"/>
        <w:spacing w:before="240" w:after="240" w:line="360" w:lineRule="auto"/>
        <w:ind w:firstLine="1134"/>
        <w:jc w:val="both"/>
      </w:pPr>
      <w:r>
        <w:t>Ainda</w:t>
      </w:r>
      <w:r w:rsidR="001E5AE5">
        <w:t>, o Departamento de Precat</w:t>
      </w:r>
      <w:r w:rsidR="006259A7">
        <w:t xml:space="preserve">ório do TJMS usurpou a competência deste d. Juízo ao emitir juízo de valor sobre as provas constantes dos autos </w:t>
      </w:r>
      <w:r w:rsidR="004832DC">
        <w:t xml:space="preserve">quando </w:t>
      </w:r>
      <w:r w:rsidR="00E46D01">
        <w:t>afirma:</w:t>
      </w:r>
    </w:p>
    <w:p w:rsidR="001E5AE5" w:rsidRPr="00E46D01" w:rsidRDefault="00ED41AE" w:rsidP="00E46D01">
      <w:pPr>
        <w:pStyle w:val="NormalArial"/>
        <w:pBdr>
          <w:left w:val="single" w:sz="18" w:space="4" w:color="FFC000" w:themeColor="accent4"/>
        </w:pBdr>
        <w:ind w:left="2268"/>
        <w:jc w:val="both"/>
      </w:pPr>
      <w:r>
        <w:t xml:space="preserve">[...] </w:t>
      </w:r>
      <w:r w:rsidR="006259A7" w:rsidRPr="00E46D01">
        <w:t>não procede a informação de que “a Antecipação Salarial tem por escopo apenas adiantar a correção do vencimento-base do cargo” e de que “não há nos autos prova de que a Antecipação Salarial foi calculada sobre a remuneração”. Além da legislação anexada aos autos, o holerite contém todas as informações necessárias para a verificação da forma de cálculo, como os percentuais aplicados em cada rubrica, comprovando que o Adicional por Tempo de Serviço integra a base de cálculo da Antecipação Salarial.</w:t>
      </w:r>
      <w:r w:rsidR="00E46D01" w:rsidRPr="00E46D01">
        <w:rPr>
          <w:rStyle w:val="Refdenotaderodap"/>
        </w:rPr>
        <w:footnoteReference w:id="8"/>
      </w:r>
    </w:p>
    <w:p w:rsidR="004F6CEE" w:rsidRDefault="00B94D4A" w:rsidP="006259A7">
      <w:pPr>
        <w:pStyle w:val="NormalArial"/>
        <w:spacing w:before="240" w:after="240" w:line="360" w:lineRule="auto"/>
        <w:ind w:firstLine="1134"/>
        <w:jc w:val="both"/>
      </w:pPr>
      <w:r>
        <w:t>Inclusive, os vícios</w:t>
      </w:r>
      <w:r w:rsidR="004F6CEE">
        <w:t xml:space="preserve"> apontado</w:t>
      </w:r>
      <w:r>
        <w:t>s</w:t>
      </w:r>
      <w:r w:rsidR="004F6CEE">
        <w:t xml:space="preserve"> </w:t>
      </w:r>
      <w:r>
        <w:t>demonstram,</w:t>
      </w:r>
      <w:r w:rsidR="004F6CEE">
        <w:t xml:space="preserve"> sem sombra de dúvida</w:t>
      </w:r>
      <w:r>
        <w:t>,</w:t>
      </w:r>
      <w:r w:rsidR="004F6CEE">
        <w:t xml:space="preserve"> que o Departamento de Precatório do TJMS não possui a necessária isenção e imparcialidade para promover a liquidação/atualização do crédito uma vez que claramente está advogando em favor do executado.</w:t>
      </w:r>
    </w:p>
    <w:p w:rsidR="00B94D4A" w:rsidRDefault="004832DC" w:rsidP="006259A7">
      <w:pPr>
        <w:pStyle w:val="NormalArial"/>
        <w:spacing w:before="240" w:after="240" w:line="360" w:lineRule="auto"/>
        <w:ind w:firstLine="1134"/>
        <w:jc w:val="both"/>
      </w:pPr>
      <w:r>
        <w:t>Com base nas premissas apontadas, e</w:t>
      </w:r>
      <w:r w:rsidR="00B94D4A">
        <w:t>videncia-se a incorreção do cálculo apresentado pelo Departamento de Precatório do TJMS</w:t>
      </w:r>
      <w:r w:rsidR="00CB5CCB">
        <w:t xml:space="preserve"> uma vez que</w:t>
      </w:r>
      <w:r w:rsidR="00B94D4A">
        <w:t xml:space="preserve"> </w:t>
      </w:r>
      <w:r>
        <w:t xml:space="preserve">antecipação salarial não engloba o </w:t>
      </w:r>
      <w:r w:rsidR="00E46D01">
        <w:t>ATS</w:t>
      </w:r>
      <w:r>
        <w:t xml:space="preserve">, bem como, a base de cálculo do </w:t>
      </w:r>
      <w:r w:rsidR="00E46D01">
        <w:t>ATS</w:t>
      </w:r>
      <w:r>
        <w:t xml:space="preserve"> deve ser remuneração do servidor e não os vencimentos/salário nos termos exaustivamente demonstrados</w:t>
      </w:r>
      <w:r w:rsidR="00B94D4A">
        <w:t>.</w:t>
      </w:r>
    </w:p>
    <w:p w:rsidR="00A96001" w:rsidRDefault="00DF3E08" w:rsidP="006259A7">
      <w:pPr>
        <w:pStyle w:val="NormalArial"/>
        <w:spacing w:before="240" w:after="240" w:line="360" w:lineRule="auto"/>
        <w:ind w:firstLine="1134"/>
        <w:jc w:val="both"/>
      </w:pPr>
      <w:r>
        <w:t>No que tange aos esclarecimentos, novamente o Setor de Precatório do TJMS defende a integridade dos seus cálculos e não</w:t>
      </w:r>
      <w:r w:rsidR="00A96001">
        <w:t xml:space="preserve"> se manifestou sobre todos os equívocos expressamente apontados pelo exequente.</w:t>
      </w:r>
    </w:p>
    <w:p w:rsidR="00E62D20" w:rsidRDefault="00E62D20" w:rsidP="006259A7">
      <w:pPr>
        <w:pStyle w:val="NormalArial"/>
        <w:spacing w:before="240" w:after="240" w:line="360" w:lineRule="auto"/>
        <w:ind w:firstLine="1134"/>
        <w:jc w:val="both"/>
      </w:pPr>
      <w:r>
        <w:t xml:space="preserve">Ainda, calcado nas premissas equivocadas </w:t>
      </w:r>
      <w:r w:rsidR="00ED41AE">
        <w:t>até aqui demonstradas</w:t>
      </w:r>
      <w:r>
        <w:t>, defende o Setor de Precatórios do e. TJMS que o valor tido por incontroverso sofreu uma redução e apresentou novamente uma planilha com os valores, em tese, auditados.</w:t>
      </w:r>
    </w:p>
    <w:p w:rsidR="00E62D20" w:rsidRPr="00217381" w:rsidRDefault="00E62D20" w:rsidP="006259A7">
      <w:pPr>
        <w:pStyle w:val="NormalArial"/>
        <w:spacing w:before="240" w:after="240" w:line="360" w:lineRule="auto"/>
        <w:ind w:firstLine="1134"/>
        <w:jc w:val="both"/>
        <w:rPr>
          <w:color w:val="000000" w:themeColor="text1"/>
        </w:rPr>
      </w:pPr>
      <w:r>
        <w:t xml:space="preserve">Importante se faz destacar que, além da preclusão temporal reconhecida pelo e. STJ, este d. Juízo e o setor de precatório reconhecem que os créditos </w:t>
      </w:r>
      <w:r w:rsidRPr="00217381">
        <w:rPr>
          <w:color w:val="000000" w:themeColor="text1"/>
        </w:rPr>
        <w:lastRenderedPageBreak/>
        <w:t>inscritos em precatório se tratam de fato incontroverso, por este motivo, de modo algum poderia ser objeto de prova conforme determina o art. 374, inciso III</w:t>
      </w:r>
      <w:r w:rsidRPr="00217381">
        <w:rPr>
          <w:rStyle w:val="Refdenotaderodap"/>
          <w:color w:val="000000" w:themeColor="text1"/>
        </w:rPr>
        <w:footnoteReference w:id="9"/>
      </w:r>
      <w:r w:rsidRPr="00217381">
        <w:rPr>
          <w:color w:val="000000" w:themeColor="text1"/>
        </w:rPr>
        <w:t xml:space="preserve">, do CPC. </w:t>
      </w:r>
    </w:p>
    <w:p w:rsidR="00CC6A1F" w:rsidRPr="00217381" w:rsidRDefault="00CC6A1F" w:rsidP="006259A7">
      <w:pPr>
        <w:pStyle w:val="NormalArial"/>
        <w:spacing w:before="240" w:after="240" w:line="360" w:lineRule="auto"/>
        <w:ind w:firstLine="1134"/>
        <w:jc w:val="both"/>
        <w:rPr>
          <w:color w:val="000000" w:themeColor="text1"/>
        </w:rPr>
      </w:pPr>
      <w:r w:rsidRPr="00217381">
        <w:rPr>
          <w:color w:val="000000" w:themeColor="text1"/>
        </w:rPr>
        <w:t>Por outro lado, em hipótese alguma o valor reconhecido como incontroverso poderia sofrer alteração/auditoria por parte do Setor de Precatório do e. TJMS, pois, tal quantia foi reconhecida expressamente como devida pelo executado na exordial dos embargos. Portanto, a conduta do do Setor de Precatório do e. TJMS afronta diretamente a norma do art. 374, inciso II</w:t>
      </w:r>
      <w:r w:rsidRPr="00217381">
        <w:rPr>
          <w:rStyle w:val="Refdenotaderodap"/>
          <w:color w:val="000000" w:themeColor="text1"/>
        </w:rPr>
        <w:footnoteReference w:id="10"/>
      </w:r>
      <w:r w:rsidRPr="00217381">
        <w:rPr>
          <w:color w:val="000000" w:themeColor="text1"/>
        </w:rPr>
        <w:t>, do CPC.</w:t>
      </w:r>
    </w:p>
    <w:p w:rsidR="00DF3E08" w:rsidRPr="00217381" w:rsidRDefault="00E62D20" w:rsidP="006259A7">
      <w:pPr>
        <w:pStyle w:val="NormalArial"/>
        <w:spacing w:before="240" w:after="240" w:line="360" w:lineRule="auto"/>
        <w:ind w:firstLine="1134"/>
        <w:jc w:val="both"/>
        <w:rPr>
          <w:color w:val="000000" w:themeColor="text1"/>
        </w:rPr>
      </w:pPr>
      <w:r w:rsidRPr="00217381">
        <w:rPr>
          <w:color w:val="000000" w:themeColor="text1"/>
        </w:rPr>
        <w:t>Não bastasse isso, o simples fato do Setor de Precatório do e. TJMS ter realizado intempestiva e arbitrariamente “auditoria” no crédito exequendo</w:t>
      </w:r>
      <w:r w:rsidR="00E65C07" w:rsidRPr="00217381">
        <w:rPr>
          <w:color w:val="000000" w:themeColor="text1"/>
        </w:rPr>
        <w:t xml:space="preserve"> demonstra de plano a ausência de imparcialidade ou competência para atualizar o crédito, motivo pelo qual, requer seja nomeado perito idôneo para cumprir a r. determinação deste d. Juízo.</w:t>
      </w:r>
    </w:p>
    <w:p w:rsidR="00E65C07" w:rsidRDefault="00E65C07" w:rsidP="00E65C07">
      <w:pPr>
        <w:spacing w:before="240"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a metodologia adotada pelo Departamento de Precatórios do e. TJMS </w:t>
      </w:r>
      <w:r w:rsidR="008A20DE">
        <w:rPr>
          <w:rFonts w:ascii="Arial" w:hAnsi="Arial" w:cs="Arial"/>
          <w:sz w:val="24"/>
          <w:szCs w:val="24"/>
        </w:rPr>
        <w:t xml:space="preserve">é claramente equivocada e incompreensível, bem como, não guarda qualquer similitude ao procedimento determinado por este d. Juízo ao analisar o processo n. </w:t>
      </w:r>
      <w:r w:rsidR="008A20DE" w:rsidRPr="008A20DE">
        <w:rPr>
          <w:rFonts w:ascii="Arial" w:hAnsi="Arial" w:cs="Arial"/>
          <w:sz w:val="24"/>
          <w:szCs w:val="24"/>
        </w:rPr>
        <w:t>0046218-93.2011.8.12.0001</w:t>
      </w:r>
      <w:r w:rsidR="008A20DE">
        <w:rPr>
          <w:rFonts w:ascii="Arial" w:hAnsi="Arial" w:cs="Arial"/>
          <w:sz w:val="24"/>
          <w:szCs w:val="24"/>
        </w:rPr>
        <w:t>, Vejamos:</w:t>
      </w:r>
    </w:p>
    <w:p w:rsidR="008A20DE" w:rsidRDefault="008A20DE" w:rsidP="00E65C07">
      <w:pPr>
        <w:spacing w:before="240"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877198" cy="1367660"/>
            <wp:effectExtent l="0" t="0" r="0" b="4445"/>
            <wp:docPr id="8" name="Imagem 8" descr="../../Dropbox/Capturas%20de%20tela/Captura%20de%20tela%202018-01-25%2015.40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Dropbox/Capturas%20de%20tela/Captura%20de%20tela%202018-01-25%2015.40.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294" cy="137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C07" w:rsidRDefault="008A20DE" w:rsidP="008A20DE">
      <w:pPr>
        <w:spacing w:before="240" w:after="240" w:line="36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915382" cy="1298117"/>
            <wp:effectExtent l="0" t="0" r="0" b="0"/>
            <wp:docPr id="9" name="Imagem 9" descr="../../Dropbox/Capturas%20de%20tela/Captura%20de%20tela%202018-01-25%2015.4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Dropbox/Capturas%20de%20tela/Captura%20de%20tela%202018-01-25%2015.41.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641" cy="13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C07" w:rsidRDefault="00E65C07" w:rsidP="00E65C07">
      <w:pPr>
        <w:spacing w:before="240"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 síntese, a quantificação do crédito deve obedecer ao seguinte procedimento: (I) Subtrair da remuneração do credor os valores recebidos à título de ATS, obtendo, assim, a base de cálculo; (ii) Sobre o resultado dessa operação (base de cálculo) aplica-se o percentual devido ao servidor à título de ATS; (iii) do resultado obtido dessa operação deve ser subtraído o valor efetivamente pago ao credor; e (iv) o resultado dessa última operação corresponderia ao crédito principal do credor para o mês em referencia.</w:t>
      </w:r>
    </w:p>
    <w:p w:rsidR="00E65C07" w:rsidRDefault="00E65C07" w:rsidP="00E65C07">
      <w:pPr>
        <w:spacing w:before="240"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Contudo, o Departamento de Precatórios do TJMS não seguiu</w:t>
      </w:r>
      <w:r w:rsidR="0074429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74429A">
        <w:rPr>
          <w:rFonts w:ascii="Arial" w:hAnsi="Arial" w:cs="Arial"/>
          <w:sz w:val="24"/>
          <w:szCs w:val="24"/>
        </w:rPr>
        <w:t>referida metodologia uma vez que</w:t>
      </w:r>
      <w:r>
        <w:rPr>
          <w:rFonts w:ascii="Arial" w:hAnsi="Arial" w:cs="Arial"/>
          <w:sz w:val="24"/>
          <w:szCs w:val="24"/>
        </w:rPr>
        <w:t xml:space="preserve"> procede</w:t>
      </w:r>
      <w:r w:rsidR="0074429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do seguinte modo: (i) Excluiu da remuneração do servidor as verbas que entendia não compor a base de cálculo (exemplo: ATS, o seu reflexo na antecipação salarial e salário família); (ii) sobre este resultado ela procedeu a apuração da antecipação salarial; (iii) em seguida somou os 2 valores e obteve a base de cálculo do ATS; (iv) sobre a base de cálculo aplicou o percentual do ATS devido; (v) somou o valor obtido a título de ATS (item iv) com a base de cálculo (item iii); e (vi) o resultado foi subtraído da remuneração integral do credor obtendo o valor que, em tese, corresponderia ao crédito principal para o mês </w:t>
      </w:r>
      <w:r w:rsidRPr="00EE236D">
        <w:rPr>
          <w:rFonts w:ascii="Arial" w:hAnsi="Arial" w:cs="Arial"/>
          <w:sz w:val="24"/>
          <w:szCs w:val="24"/>
        </w:rPr>
        <w:t>em referencia.</w:t>
      </w:r>
    </w:p>
    <w:p w:rsidR="00E65C07" w:rsidRDefault="00E65C07" w:rsidP="0074429A">
      <w:pPr>
        <w:spacing w:before="240"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Contata-se da análise dos procedimentos que o setor responsável pela elaboração do cálculo impugnado não respeitou o</w:t>
      </w:r>
      <w:r w:rsidR="0074429A">
        <w:rPr>
          <w:rFonts w:ascii="Arial" w:hAnsi="Arial" w:cs="Arial"/>
          <w:sz w:val="24"/>
          <w:szCs w:val="24"/>
        </w:rPr>
        <w:t xml:space="preserve"> citado</w:t>
      </w:r>
      <w:r>
        <w:rPr>
          <w:rFonts w:ascii="Arial" w:hAnsi="Arial" w:cs="Arial"/>
          <w:sz w:val="24"/>
          <w:szCs w:val="24"/>
        </w:rPr>
        <w:t xml:space="preserve"> procedimento </w:t>
      </w:r>
      <w:r w:rsidR="0074429A">
        <w:rPr>
          <w:rFonts w:ascii="Arial" w:hAnsi="Arial" w:cs="Arial"/>
          <w:sz w:val="24"/>
          <w:szCs w:val="24"/>
        </w:rPr>
        <w:t>e ocasionou o seguinte erro:</w:t>
      </w:r>
      <w:r>
        <w:rPr>
          <w:rFonts w:ascii="Arial" w:hAnsi="Arial" w:cs="Arial"/>
          <w:sz w:val="24"/>
          <w:szCs w:val="24"/>
        </w:rPr>
        <w:t xml:space="preserve"> Houve a exclusão de algumas verbas na oportunidade de apuração da base de cálculo, porém, não foi feito o mesmo abatimento na última fase do cálculo, o que acarreta o computo indevido da verba excluída, acrescida da antecipação salarial, como pagamento do ATS. </w:t>
      </w:r>
    </w:p>
    <w:p w:rsidR="0074429A" w:rsidRPr="0074429A" w:rsidRDefault="00E65C07" w:rsidP="0074429A">
      <w:pPr>
        <w:spacing w:before="240"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4429A">
        <w:rPr>
          <w:rFonts w:ascii="Arial" w:hAnsi="Arial" w:cs="Arial"/>
          <w:sz w:val="24"/>
          <w:szCs w:val="24"/>
        </w:rPr>
        <w:t xml:space="preserve">Esse equívoco é fácil de ser solucionado, basta </w:t>
      </w:r>
      <w:r w:rsidR="0074429A" w:rsidRPr="0074429A">
        <w:rPr>
          <w:rFonts w:ascii="Arial" w:hAnsi="Arial" w:cs="Arial"/>
          <w:sz w:val="24"/>
          <w:szCs w:val="24"/>
        </w:rPr>
        <w:t xml:space="preserve">o Setor de Precatórios </w:t>
      </w:r>
      <w:r w:rsidRPr="0074429A">
        <w:rPr>
          <w:rFonts w:ascii="Arial" w:hAnsi="Arial" w:cs="Arial"/>
          <w:sz w:val="24"/>
          <w:szCs w:val="24"/>
        </w:rPr>
        <w:t xml:space="preserve">proceder a quantificação do crédito guardando estreita observância ao método determinado </w:t>
      </w:r>
      <w:r w:rsidR="0074429A" w:rsidRPr="0074429A">
        <w:rPr>
          <w:rFonts w:ascii="Arial" w:hAnsi="Arial" w:cs="Arial"/>
          <w:sz w:val="24"/>
          <w:szCs w:val="24"/>
        </w:rPr>
        <w:t>supracitado</w:t>
      </w:r>
      <w:r w:rsidRPr="0074429A">
        <w:rPr>
          <w:rFonts w:ascii="Arial" w:hAnsi="Arial" w:cs="Arial"/>
          <w:sz w:val="24"/>
          <w:szCs w:val="24"/>
        </w:rPr>
        <w:t xml:space="preserve"> e utilizar a base de cálculo </w:t>
      </w:r>
      <w:r w:rsidR="0074429A" w:rsidRPr="0074429A">
        <w:rPr>
          <w:rFonts w:ascii="Arial" w:hAnsi="Arial" w:cs="Arial"/>
          <w:sz w:val="24"/>
          <w:szCs w:val="24"/>
        </w:rPr>
        <w:t>apontada na inicial</w:t>
      </w:r>
      <w:r w:rsidRPr="0074429A">
        <w:rPr>
          <w:rFonts w:ascii="Arial" w:hAnsi="Arial" w:cs="Arial"/>
          <w:sz w:val="24"/>
          <w:szCs w:val="24"/>
        </w:rPr>
        <w:t xml:space="preserve">. </w:t>
      </w:r>
    </w:p>
    <w:p w:rsidR="00E65C07" w:rsidRDefault="00E65C07" w:rsidP="00E65C07">
      <w:pPr>
        <w:pStyle w:val="NormalArial"/>
        <w:spacing w:before="240" w:after="240" w:line="360" w:lineRule="auto"/>
        <w:ind w:firstLine="1134"/>
        <w:jc w:val="both"/>
      </w:pPr>
      <w:r w:rsidRPr="0074429A">
        <w:t xml:space="preserve">Ainda, eventual debate sobre a quantificação do crédito principal está superado uma vez que </w:t>
      </w:r>
      <w:r w:rsidR="0074429A">
        <w:t>o e. STJ rejeitou liminarmente os embargos à execução, via adequada à análise do excesso de execução</w:t>
      </w:r>
      <w:r>
        <w:t>.</w:t>
      </w:r>
    </w:p>
    <w:p w:rsidR="00E65C07" w:rsidRDefault="00E65C07" w:rsidP="0074429A">
      <w:pPr>
        <w:pStyle w:val="NormalArial"/>
        <w:spacing w:before="240" w:after="240" w:line="360" w:lineRule="auto"/>
        <w:ind w:firstLine="1134"/>
        <w:jc w:val="both"/>
      </w:pPr>
      <w:r>
        <w:t xml:space="preserve">Portanto, sob todos os ângulos, vê-se claramente a incorreção do cálculo </w:t>
      </w:r>
      <w:r w:rsidR="0074429A">
        <w:t xml:space="preserve">e a imprestabilidade dos esclarecimentos </w:t>
      </w:r>
      <w:r>
        <w:t xml:space="preserve">ora combatido, assim como, os vícios </w:t>
      </w:r>
      <w:r>
        <w:lastRenderedPageBreak/>
        <w:t xml:space="preserve">apontados demonstram, sem sombra de dúvida, que o Departamento de Precatórios do TJMS não possui a necessária isenção e imparcialidade para promover a atualização do crédito uma vez que claramente está advogando em favor do </w:t>
      </w:r>
      <w:r w:rsidR="0074429A">
        <w:t>executado</w:t>
      </w:r>
      <w:r>
        <w:t>.</w:t>
      </w:r>
    </w:p>
    <w:p w:rsidR="00FD7881" w:rsidRPr="00C34E18" w:rsidRDefault="00FD7881" w:rsidP="00FD7881">
      <w:pPr>
        <w:pBdr>
          <w:bottom w:val="single" w:sz="18" w:space="1" w:color="FFC000" w:themeColor="accent4"/>
        </w:pBdr>
        <w:spacing w:before="240" w:after="0" w:line="240" w:lineRule="auto"/>
        <w:jc w:val="both"/>
        <w:rPr>
          <w:rFonts w:ascii="Gill Sans MT" w:hAnsi="Gill Sans MT" w:cs="Arial"/>
          <w:smallCaps/>
          <w:sz w:val="28"/>
          <w:szCs w:val="28"/>
        </w:rPr>
      </w:pPr>
      <w:r w:rsidRPr="00C34E18">
        <w:rPr>
          <w:rFonts w:ascii="Gill Sans MT" w:hAnsi="Gill Sans MT" w:cs="Arial"/>
          <w:smallCaps/>
          <w:sz w:val="28"/>
          <w:szCs w:val="28"/>
        </w:rPr>
        <w:t>I</w:t>
      </w:r>
      <w:r>
        <w:rPr>
          <w:rFonts w:ascii="Gill Sans MT" w:hAnsi="Gill Sans MT" w:cs="Arial"/>
          <w:smallCaps/>
          <w:sz w:val="28"/>
          <w:szCs w:val="28"/>
        </w:rPr>
        <w:t>V</w:t>
      </w:r>
      <w:r w:rsidRPr="00C34E18">
        <w:rPr>
          <w:rFonts w:ascii="Gill Sans MT" w:hAnsi="Gill Sans MT" w:cs="Arial"/>
          <w:smallCaps/>
          <w:sz w:val="28"/>
          <w:szCs w:val="28"/>
        </w:rPr>
        <w:t xml:space="preserve"> – </w:t>
      </w:r>
      <w:r>
        <w:rPr>
          <w:rFonts w:ascii="Gill Sans MT" w:hAnsi="Gill Sans MT" w:cs="Arial"/>
          <w:smallCaps/>
          <w:sz w:val="28"/>
          <w:szCs w:val="28"/>
        </w:rPr>
        <w:t>Considerações Finais</w:t>
      </w:r>
    </w:p>
    <w:p w:rsidR="008142F4" w:rsidRDefault="008142F4" w:rsidP="008142F4">
      <w:pPr>
        <w:pStyle w:val="NormalArial"/>
        <w:spacing w:before="240" w:after="240" w:line="360" w:lineRule="auto"/>
        <w:ind w:firstLine="1134"/>
        <w:jc w:val="both"/>
      </w:pPr>
      <w:r>
        <w:t>Por todo o exposto</w:t>
      </w:r>
      <w:r w:rsidR="00E46D01">
        <w:t>,</w:t>
      </w:r>
      <w:r>
        <w:t xml:space="preserve"> requer seja </w:t>
      </w:r>
      <w:r w:rsidR="00356398">
        <w:t>declarada a incorreção dos cálculos ora impugnado</w:t>
      </w:r>
      <w:r w:rsidR="0074429A">
        <w:t xml:space="preserve"> e a imprestabilidade dos esclarecimentos prestados pelo Departamento de Precatório do e. TJMS</w:t>
      </w:r>
      <w:r w:rsidR="00356398">
        <w:t>, consequentemente, seja nomeado perito idôneo para cumprir a r. determinação deste d. Juízo</w:t>
      </w:r>
      <w:r w:rsidR="000F6B29">
        <w:t xml:space="preserve"> e/ou, t</w:t>
      </w:r>
      <w:r w:rsidR="00356398">
        <w:t>endo em vista que o Departamento de Precatório do TJMS necessitou de 214 dias para proceder os cálculos, a</w:t>
      </w:r>
      <w:r>
        <w:t xml:space="preserve"> </w:t>
      </w:r>
      <w:r w:rsidR="00356398">
        <w:t>concessão</w:t>
      </w:r>
      <w:r>
        <w:t xml:space="preserve"> do prazo </w:t>
      </w:r>
      <w:r w:rsidR="00356398">
        <w:t>de 90</w:t>
      </w:r>
      <w:r>
        <w:t xml:space="preserve"> dias</w:t>
      </w:r>
      <w:r w:rsidR="00004DD5">
        <w:t>, prorrogáveis por igual período,</w:t>
      </w:r>
      <w:r>
        <w:t xml:space="preserve"> para que o </w:t>
      </w:r>
      <w:r w:rsidR="00356398">
        <w:t>exequente</w:t>
      </w:r>
      <w:r>
        <w:t xml:space="preserve"> possa apresentar o cálculo</w:t>
      </w:r>
      <w:r w:rsidR="00356398">
        <w:t xml:space="preserve"> </w:t>
      </w:r>
      <w:r w:rsidR="0013489A">
        <w:t xml:space="preserve">do crédito devidamente atualizado e </w:t>
      </w:r>
      <w:r w:rsidR="00356398">
        <w:t>respeitando integralmente o</w:t>
      </w:r>
      <w:r w:rsidR="0013489A">
        <w:t xml:space="preserve"> título executivo</w:t>
      </w:r>
      <w:r>
        <w:t xml:space="preserve"> </w:t>
      </w:r>
      <w:r w:rsidR="0013489A">
        <w:t>judicial</w:t>
      </w:r>
      <w:r>
        <w:t>.</w:t>
      </w:r>
    </w:p>
    <w:p w:rsidR="003A1E33" w:rsidRPr="000E062F" w:rsidRDefault="003A1E33" w:rsidP="003A1E33">
      <w:pPr>
        <w:pStyle w:val="NormalArial"/>
        <w:tabs>
          <w:tab w:val="num" w:pos="1080"/>
        </w:tabs>
        <w:spacing w:before="240" w:after="240" w:line="360" w:lineRule="auto"/>
        <w:ind w:firstLine="1134"/>
        <w:jc w:val="both"/>
      </w:pPr>
      <w:r>
        <w:t>Aguarda</w:t>
      </w:r>
      <w:r w:rsidRPr="000E062F">
        <w:t xml:space="preserve"> deferimento.</w:t>
      </w:r>
    </w:p>
    <w:p w:rsidR="003A1E33" w:rsidRDefault="00826BC4" w:rsidP="003A1E33">
      <w:pPr>
        <w:pStyle w:val="NormalArial"/>
        <w:tabs>
          <w:tab w:val="num" w:pos="1080"/>
        </w:tabs>
        <w:spacing w:before="240" w:after="240" w:line="360" w:lineRule="auto"/>
        <w:ind w:firstLine="1134"/>
        <w:jc w:val="both"/>
      </w:pPr>
      <w:sdt>
        <w:sdtPr>
          <w:alias w:val="Comentários"/>
          <w:tag w:val=""/>
          <w:id w:val="-1213038057"/>
          <w:placeholder>
            <w:docPart w:val="0F83A2FF7EFE4DBA9D225B351BA27362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 w:rsidR="00004E60">
            <w:t>Campo Grande/MS</w:t>
          </w:r>
        </w:sdtContent>
      </w:sdt>
      <w:r w:rsidR="003A1E33" w:rsidRPr="002E5368">
        <w:t>,</w:t>
      </w:r>
      <w:r w:rsidR="00004E60">
        <w:t xml:space="preserve"> 20 de junho de 2018</w:t>
      </w:r>
      <w:r w:rsidR="003A1E33" w:rsidRPr="002E5368"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1"/>
      </w:tblGrid>
      <w:tr w:rsidR="003A1E33" w:rsidTr="00CB404D">
        <w:tc>
          <w:tcPr>
            <w:tcW w:w="4530" w:type="dxa"/>
          </w:tcPr>
          <w:p w:rsidR="003A1E33" w:rsidRPr="00B83DC7" w:rsidRDefault="0013489A" w:rsidP="00CB404D">
            <w:pPr>
              <w:pStyle w:val="PargrafodaLista"/>
              <w:tabs>
                <w:tab w:val="left" w:pos="2835"/>
              </w:tabs>
              <w:spacing w:before="0" w:beforeAutospacing="0" w:after="0" w:afterAutospacing="0" w:line="240" w:lineRule="auto"/>
              <w:ind w:left="0"/>
              <w:jc w:val="center"/>
              <w:rPr>
                <w:rFonts w:ascii="Gill Sans MT" w:hAnsi="Gill Sans MT" w:cs="Arial"/>
                <w:smallCaps/>
                <w:sz w:val="18"/>
                <w:szCs w:val="26"/>
              </w:rPr>
            </w:pPr>
            <w:r>
              <w:rPr>
                <w:rFonts w:ascii="Gill Sans MT" w:hAnsi="Gill Sans MT" w:cs="Arial"/>
                <w:smallCaps/>
                <w:sz w:val="18"/>
                <w:szCs w:val="26"/>
              </w:rPr>
              <w:t xml:space="preserve"> </w:t>
            </w:r>
          </w:p>
          <w:p w:rsidR="003A1E33" w:rsidRDefault="003A1E33" w:rsidP="00CB404D">
            <w:pPr>
              <w:pStyle w:val="PargrafodaLista"/>
              <w:tabs>
                <w:tab w:val="left" w:pos="2835"/>
              </w:tabs>
              <w:spacing w:before="0" w:beforeAutospacing="0" w:after="0" w:afterAutospacing="0" w:line="240" w:lineRule="auto"/>
              <w:ind w:left="0"/>
              <w:jc w:val="center"/>
              <w:rPr>
                <w:rFonts w:ascii="Gill Sans MT" w:hAnsi="Gill Sans MT" w:cs="Arial"/>
                <w:smallCaps/>
                <w:sz w:val="26"/>
                <w:szCs w:val="26"/>
              </w:rPr>
            </w:pPr>
            <w:r>
              <w:rPr>
                <w:rFonts w:ascii="Gill Sans MT" w:hAnsi="Gill Sans MT" w:cs="Arial"/>
                <w:smallCaps/>
                <w:sz w:val="26"/>
                <w:szCs w:val="26"/>
              </w:rPr>
              <w:t>Aldair Capatti</w:t>
            </w:r>
            <w:r w:rsidRPr="00B83DC7">
              <w:rPr>
                <w:rFonts w:ascii="Gill Sans MT" w:hAnsi="Gill Sans MT" w:cs="Arial"/>
                <w:smallCaps/>
                <w:sz w:val="26"/>
                <w:szCs w:val="26"/>
              </w:rPr>
              <w:t xml:space="preserve"> de Aquino</w:t>
            </w:r>
          </w:p>
          <w:p w:rsidR="003A1E33" w:rsidRPr="00C5053E" w:rsidRDefault="003A1E33" w:rsidP="00CB404D">
            <w:pPr>
              <w:pStyle w:val="PargrafodaLista"/>
              <w:tabs>
                <w:tab w:val="left" w:pos="2835"/>
              </w:tabs>
              <w:spacing w:before="0" w:beforeAutospacing="0" w:after="0" w:afterAutospacing="0" w:line="240" w:lineRule="auto"/>
              <w:ind w:left="0"/>
              <w:jc w:val="center"/>
              <w:rPr>
                <w:rFonts w:ascii="Gill Sans MT" w:hAnsi="Gill Sans MT" w:cs="Arial"/>
                <w:smallCaps/>
                <w:sz w:val="26"/>
                <w:szCs w:val="26"/>
              </w:rPr>
            </w:pPr>
            <w:r>
              <w:rPr>
                <w:rFonts w:ascii="Gill Sans MT" w:hAnsi="Gill Sans MT" w:cs="Arial"/>
                <w:smallCaps/>
                <w:sz w:val="26"/>
                <w:szCs w:val="26"/>
              </w:rPr>
              <w:t>OAB/MS n. 2.162-B</w:t>
            </w:r>
          </w:p>
        </w:tc>
        <w:tc>
          <w:tcPr>
            <w:tcW w:w="4531" w:type="dxa"/>
          </w:tcPr>
          <w:p w:rsidR="003A1E33" w:rsidRPr="00B83DC7" w:rsidRDefault="0013489A" w:rsidP="00CB404D">
            <w:pPr>
              <w:pStyle w:val="PargrafodaLista"/>
              <w:tabs>
                <w:tab w:val="left" w:pos="2835"/>
              </w:tabs>
              <w:spacing w:before="0" w:beforeAutospacing="0" w:after="0" w:afterAutospacing="0" w:line="240" w:lineRule="auto"/>
              <w:ind w:left="0"/>
              <w:jc w:val="center"/>
              <w:rPr>
                <w:rFonts w:ascii="Gill Sans MT" w:hAnsi="Gill Sans MT" w:cs="Arial"/>
                <w:smallCaps/>
                <w:sz w:val="18"/>
                <w:szCs w:val="26"/>
              </w:rPr>
            </w:pPr>
            <w:r>
              <w:rPr>
                <w:rFonts w:ascii="Gill Sans MT" w:hAnsi="Gill Sans MT" w:cs="Arial"/>
                <w:smallCaps/>
                <w:sz w:val="18"/>
                <w:szCs w:val="26"/>
              </w:rPr>
              <w:t xml:space="preserve"> </w:t>
            </w:r>
          </w:p>
          <w:p w:rsidR="003A1E33" w:rsidRDefault="0063162B" w:rsidP="00CB404D">
            <w:pPr>
              <w:pStyle w:val="PargrafodaLista"/>
              <w:tabs>
                <w:tab w:val="left" w:pos="2835"/>
              </w:tabs>
              <w:spacing w:before="0" w:beforeAutospacing="0" w:after="0" w:afterAutospacing="0" w:line="240" w:lineRule="auto"/>
              <w:ind w:left="0"/>
              <w:jc w:val="center"/>
              <w:rPr>
                <w:rFonts w:ascii="Gill Sans MT" w:hAnsi="Gill Sans MT" w:cs="Arial"/>
                <w:smallCaps/>
                <w:sz w:val="26"/>
                <w:szCs w:val="26"/>
              </w:rPr>
            </w:pPr>
            <w:r>
              <w:rPr>
                <w:rFonts w:ascii="Gill Sans MT" w:hAnsi="Gill Sans MT" w:cs="Arial"/>
                <w:smallCaps/>
                <w:sz w:val="26"/>
                <w:szCs w:val="26"/>
              </w:rPr>
              <w:t>Fausto Luiz Rezende de Aquino</w:t>
            </w:r>
          </w:p>
          <w:p w:rsidR="003A1E33" w:rsidRPr="0063162B" w:rsidRDefault="003A1E33" w:rsidP="0063162B">
            <w:pPr>
              <w:pStyle w:val="PargrafodaLista"/>
              <w:tabs>
                <w:tab w:val="left" w:pos="2835"/>
              </w:tabs>
              <w:spacing w:before="0" w:beforeAutospacing="0" w:after="0" w:afterAutospacing="0" w:line="240" w:lineRule="auto"/>
              <w:ind w:left="0"/>
              <w:jc w:val="center"/>
              <w:rPr>
                <w:rFonts w:ascii="Gill Sans MT" w:hAnsi="Gill Sans MT" w:cs="Arial"/>
                <w:smallCaps/>
                <w:sz w:val="26"/>
                <w:szCs w:val="26"/>
              </w:rPr>
            </w:pPr>
            <w:r>
              <w:rPr>
                <w:rFonts w:ascii="Gill Sans MT" w:hAnsi="Gill Sans MT" w:cs="Arial"/>
                <w:smallCaps/>
                <w:sz w:val="26"/>
                <w:szCs w:val="26"/>
              </w:rPr>
              <w:t xml:space="preserve">OAB/MS n. </w:t>
            </w:r>
            <w:r w:rsidR="0063162B">
              <w:rPr>
                <w:rFonts w:ascii="Gill Sans MT" w:hAnsi="Gill Sans MT" w:cs="Arial"/>
                <w:smallCaps/>
                <w:sz w:val="26"/>
                <w:szCs w:val="26"/>
              </w:rPr>
              <w:t>11.232</w:t>
            </w:r>
          </w:p>
        </w:tc>
      </w:tr>
    </w:tbl>
    <w:p w:rsidR="003A1E33" w:rsidRPr="002E5368" w:rsidRDefault="003A1E33" w:rsidP="003A1E33">
      <w:pPr>
        <w:pStyle w:val="NormalArial"/>
        <w:tabs>
          <w:tab w:val="num" w:pos="1080"/>
        </w:tabs>
      </w:pPr>
    </w:p>
    <w:p w:rsidR="00C410F3" w:rsidRPr="003A1E33" w:rsidRDefault="00C410F3" w:rsidP="003A1E33"/>
    <w:sectPr w:rsidR="00C410F3" w:rsidRPr="003A1E33" w:rsidSect="004760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08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BFB" w:rsidRDefault="00014BFB" w:rsidP="00B23807">
      <w:pPr>
        <w:spacing w:after="0" w:line="240" w:lineRule="auto"/>
      </w:pPr>
      <w:r>
        <w:separator/>
      </w:r>
    </w:p>
  </w:endnote>
  <w:endnote w:type="continuationSeparator" w:id="0">
    <w:p w:rsidR="00014BFB" w:rsidRDefault="00014BFB" w:rsidP="00B2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42" w:rsidRDefault="0023354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FA" w:rsidRDefault="00233542">
    <w:pPr>
      <w:pStyle w:val="Rodap"/>
    </w:pPr>
    <w:r>
      <w:rPr>
        <w:rFonts w:ascii="Helvetica" w:hAnsi="Helvetica" w:cs="Helvetica"/>
        <w:noProof/>
        <w:sz w:val="24"/>
        <w:szCs w:val="24"/>
        <w:lang w:eastAsia="pt-BR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-144145</wp:posOffset>
          </wp:positionV>
          <wp:extent cx="7243200" cy="7812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32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FA" w:rsidRPr="00E660BA" w:rsidRDefault="00233542" w:rsidP="00E660BA">
    <w:pPr>
      <w:pStyle w:val="Rodap"/>
      <w:tabs>
        <w:tab w:val="clear" w:pos="4252"/>
        <w:tab w:val="clear" w:pos="8504"/>
        <w:tab w:val="left" w:pos="880"/>
      </w:tabs>
      <w:rPr>
        <w:sz w:val="2"/>
        <w:szCs w:val="2"/>
      </w:rPr>
    </w:pPr>
    <w:r>
      <w:rPr>
        <w:rFonts w:ascii="Helvetica" w:hAnsi="Helvetica" w:cs="Helvetica"/>
        <w:noProof/>
        <w:sz w:val="24"/>
        <w:szCs w:val="24"/>
        <w:lang w:eastAsia="pt-BR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-169122</wp:posOffset>
          </wp:positionV>
          <wp:extent cx="7243200" cy="781200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32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21FA" w:rsidRPr="00E660BA">
      <w:rPr>
        <w:sz w:val="2"/>
        <w:szCs w:val="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BFB" w:rsidRDefault="00014BFB" w:rsidP="00B23807">
      <w:pPr>
        <w:spacing w:after="0" w:line="240" w:lineRule="auto"/>
      </w:pPr>
      <w:r>
        <w:separator/>
      </w:r>
    </w:p>
  </w:footnote>
  <w:footnote w:type="continuationSeparator" w:id="0">
    <w:p w:rsidR="00014BFB" w:rsidRDefault="00014BFB" w:rsidP="00B23807">
      <w:pPr>
        <w:spacing w:after="0" w:line="240" w:lineRule="auto"/>
      </w:pPr>
      <w:r>
        <w:continuationSeparator/>
      </w:r>
    </w:p>
  </w:footnote>
  <w:footnote w:id="1">
    <w:p w:rsidR="00AA21FA" w:rsidRPr="00E62D20" w:rsidRDefault="00AA21FA" w:rsidP="00E62D2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62D20">
        <w:rPr>
          <w:rStyle w:val="Refdenotaderodap"/>
          <w:rFonts w:ascii="Arial" w:hAnsi="Arial" w:cs="Arial"/>
          <w:sz w:val="20"/>
          <w:szCs w:val="20"/>
        </w:rPr>
        <w:footnoteRef/>
      </w:r>
      <w:r w:rsidRPr="00E62D20">
        <w:rPr>
          <w:rFonts w:ascii="Arial" w:hAnsi="Arial" w:cs="Arial"/>
          <w:sz w:val="20"/>
          <w:szCs w:val="20"/>
        </w:rPr>
        <w:t xml:space="preserve"> </w:t>
      </w:r>
      <w:r w:rsidRPr="00E62D20">
        <w:rPr>
          <w:rFonts w:ascii="Arial" w:eastAsia="Times New Roman" w:hAnsi="Arial" w:cs="Arial"/>
          <w:color w:val="000000"/>
          <w:sz w:val="20"/>
          <w:szCs w:val="20"/>
        </w:rPr>
        <w:t>Art. 229.  Os litisconsortes que tiverem diferentes procuradores, de escritórios de advocacia distintos, terão prazos contados em dobro para todas as suas manifestações, em qualquer juízo ou tribunal, independentemente de requerimento</w:t>
      </w:r>
      <w:r w:rsidRPr="00E62D20">
        <w:rPr>
          <w:rFonts w:ascii="Arial" w:hAnsi="Arial" w:cs="Arial"/>
          <w:sz w:val="20"/>
          <w:szCs w:val="20"/>
        </w:rPr>
        <w:t>.</w:t>
      </w:r>
    </w:p>
  </w:footnote>
  <w:footnote w:id="2">
    <w:p w:rsidR="00AA21FA" w:rsidRPr="00E62D20" w:rsidRDefault="00AA21FA" w:rsidP="00E62D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2D20">
        <w:rPr>
          <w:rStyle w:val="Refdenotaderodap"/>
          <w:rFonts w:ascii="Arial" w:hAnsi="Arial" w:cs="Arial"/>
          <w:sz w:val="20"/>
          <w:szCs w:val="20"/>
        </w:rPr>
        <w:footnoteRef/>
      </w:r>
      <w:r w:rsidRPr="00E62D20">
        <w:rPr>
          <w:rFonts w:ascii="Arial" w:hAnsi="Arial" w:cs="Arial"/>
          <w:sz w:val="20"/>
          <w:szCs w:val="20"/>
        </w:rPr>
        <w:t xml:space="preserve"> </w:t>
      </w:r>
      <w:r w:rsidRPr="00E62D20">
        <w:rPr>
          <w:rFonts w:ascii="Arial" w:eastAsia="Times New Roman" w:hAnsi="Arial" w:cs="Arial"/>
          <w:color w:val="000000"/>
          <w:sz w:val="20"/>
          <w:szCs w:val="20"/>
        </w:rPr>
        <w:t>Art. 5º Todos são iguais perante a lei, sem distinção de qualquer natureza, garantindo-se aos brasileiros e aos estrangeiros residentes no País a inviolabilidade do direito à vida, à liberdade, à igualdade, à segurança e à propriedade, nos termos seguintes: [...] LIV - ninguém será privado da liberdade ou de seus bens sem o devido processo legal; LV - aos litigantes, em processo judicial ou administrativo, e aos acusados em geral são assegurados o contraditório e ampla defesa, com os meios e recursos a ela inerentes;</w:t>
      </w:r>
      <w:r w:rsidRPr="00E62D20">
        <w:rPr>
          <w:rFonts w:ascii="Arial" w:hAnsi="Arial" w:cs="Arial"/>
          <w:sz w:val="20"/>
          <w:szCs w:val="20"/>
        </w:rPr>
        <w:t>.</w:t>
      </w:r>
    </w:p>
  </w:footnote>
  <w:footnote w:id="3">
    <w:p w:rsidR="00AA21FA" w:rsidRPr="00E62D20" w:rsidRDefault="00AA21FA" w:rsidP="00E62D20">
      <w:pPr>
        <w:pStyle w:val="Textodenotaderodap"/>
        <w:jc w:val="both"/>
        <w:rPr>
          <w:rFonts w:ascii="Arial" w:hAnsi="Arial" w:cs="Arial"/>
        </w:rPr>
      </w:pPr>
      <w:r w:rsidRPr="00E62D20">
        <w:rPr>
          <w:rStyle w:val="Refdenotaderodap"/>
          <w:rFonts w:ascii="Arial" w:hAnsi="Arial" w:cs="Arial"/>
        </w:rPr>
        <w:footnoteRef/>
      </w:r>
      <w:r w:rsidRPr="00E62D20">
        <w:rPr>
          <w:rFonts w:ascii="Arial" w:hAnsi="Arial" w:cs="Arial"/>
        </w:rPr>
        <w:t xml:space="preserve"> Art. 739-A.  Os embargos do executado não terão efeito suspensivo. [...]§5º.  Quando o excesso de execução for fundamento dos embargos, o embargante deverá declarar na petição inicial o valor que entende correto, apresentando memória do cálculo, sob pena de rejeição liminar dos embargos ou de não conhecimento desse fundamento.</w:t>
      </w:r>
    </w:p>
  </w:footnote>
  <w:footnote w:id="4">
    <w:p w:rsidR="00AA21FA" w:rsidRPr="00E62D20" w:rsidRDefault="00AA21FA" w:rsidP="00E62D20">
      <w:pPr>
        <w:pStyle w:val="Textodenotaderodap"/>
        <w:jc w:val="both"/>
        <w:rPr>
          <w:rFonts w:ascii="Arial" w:hAnsi="Arial" w:cs="Arial"/>
        </w:rPr>
      </w:pPr>
      <w:r w:rsidRPr="00E62D20">
        <w:rPr>
          <w:rStyle w:val="Refdenotaderodap"/>
          <w:rFonts w:ascii="Arial" w:hAnsi="Arial" w:cs="Arial"/>
        </w:rPr>
        <w:footnoteRef/>
      </w:r>
      <w:r w:rsidRPr="00E62D20">
        <w:rPr>
          <w:rFonts w:ascii="Arial" w:hAnsi="Arial" w:cs="Arial"/>
        </w:rPr>
        <w:t xml:space="preserve"> Endereço Eletrônico: </w:t>
      </w:r>
      <w:hyperlink r:id="rId1" w:history="1">
        <w:r w:rsidRPr="00E62D20">
          <w:rPr>
            <w:rStyle w:val="Hyperlink"/>
            <w:rFonts w:ascii="Arial" w:hAnsi="Arial" w:cs="Arial"/>
          </w:rPr>
          <w:t>https://ww2.stj.jus.br/processo/revista/documento/mediado/?componente=ITA&amp;sequencial=996977&amp;num_registro=201000829319&amp;data=20101125&amp;formato=PDF</w:t>
        </w:r>
      </w:hyperlink>
      <w:r w:rsidRPr="00E62D20">
        <w:rPr>
          <w:rFonts w:ascii="Arial" w:hAnsi="Arial" w:cs="Arial"/>
        </w:rPr>
        <w:t>. Acesso em 10/05/2017 às 20:14 horas.</w:t>
      </w:r>
    </w:p>
  </w:footnote>
  <w:footnote w:id="5">
    <w:p w:rsidR="00AA21FA" w:rsidRPr="00E62D20" w:rsidRDefault="00AA21FA" w:rsidP="00E62D20">
      <w:pPr>
        <w:pStyle w:val="Textodenotaderodap"/>
        <w:jc w:val="both"/>
        <w:rPr>
          <w:rFonts w:ascii="Arial" w:hAnsi="Arial" w:cs="Arial"/>
        </w:rPr>
      </w:pPr>
      <w:r w:rsidRPr="00E62D20">
        <w:rPr>
          <w:rStyle w:val="Refdenotaderodap"/>
          <w:rFonts w:ascii="Arial" w:hAnsi="Arial" w:cs="Arial"/>
        </w:rPr>
        <w:footnoteRef/>
      </w:r>
      <w:r w:rsidRPr="00E62D20">
        <w:rPr>
          <w:rFonts w:ascii="Arial" w:hAnsi="Arial" w:cs="Arial"/>
        </w:rPr>
        <w:t xml:space="preserve"> Art. 473 da Lei Federal n. 5.869/1973 e art. 507 do CPC. </w:t>
      </w:r>
    </w:p>
  </w:footnote>
  <w:footnote w:id="6">
    <w:p w:rsidR="00AA21FA" w:rsidRPr="00E62D20" w:rsidRDefault="00AA21FA" w:rsidP="00E62D20">
      <w:pPr>
        <w:pStyle w:val="Textodenotaderodap"/>
        <w:jc w:val="both"/>
        <w:rPr>
          <w:rFonts w:ascii="Arial" w:hAnsi="Arial" w:cs="Arial"/>
        </w:rPr>
      </w:pPr>
      <w:r w:rsidRPr="00E62D20">
        <w:rPr>
          <w:rStyle w:val="Refdenotaderodap"/>
          <w:rFonts w:ascii="Arial" w:hAnsi="Arial" w:cs="Arial"/>
        </w:rPr>
        <w:footnoteRef/>
      </w:r>
      <w:r w:rsidRPr="00E62D20">
        <w:rPr>
          <w:rFonts w:ascii="Arial" w:hAnsi="Arial" w:cs="Arial"/>
        </w:rPr>
        <w:t xml:space="preserve"> Endereço Eletrônico: </w:t>
      </w:r>
      <w:hyperlink r:id="rId2" w:history="1">
        <w:r w:rsidRPr="00E62D20">
          <w:rPr>
            <w:rStyle w:val="Hyperlink"/>
            <w:rFonts w:ascii="Arial" w:hAnsi="Arial" w:cs="Arial"/>
          </w:rPr>
          <w:t>https://ww2.stj.jus.br/processo/revista/documento/mediado/?componente=ITA&amp;sequencial=1211728&amp;num_registro=201000829319&amp;data=20130305&amp;formato=HTML</w:t>
        </w:r>
      </w:hyperlink>
      <w:r w:rsidRPr="00E62D20">
        <w:rPr>
          <w:rFonts w:ascii="Arial" w:hAnsi="Arial" w:cs="Arial"/>
        </w:rPr>
        <w:t>. Acesso em 10/05/2017 às 20:14 horas.</w:t>
      </w:r>
    </w:p>
  </w:footnote>
  <w:footnote w:id="7">
    <w:p w:rsidR="00AA21FA" w:rsidRPr="00E62D20" w:rsidRDefault="00AA21FA" w:rsidP="00E62D20">
      <w:pPr>
        <w:pStyle w:val="Textodenotaderodap"/>
        <w:jc w:val="both"/>
        <w:rPr>
          <w:rFonts w:ascii="Arial" w:hAnsi="Arial" w:cs="Arial"/>
        </w:rPr>
      </w:pPr>
      <w:r w:rsidRPr="00E62D20">
        <w:rPr>
          <w:rStyle w:val="Refdenotaderodap"/>
          <w:rFonts w:ascii="Arial" w:hAnsi="Arial" w:cs="Arial"/>
        </w:rPr>
        <w:footnoteRef/>
      </w:r>
      <w:r w:rsidRPr="00E62D20">
        <w:rPr>
          <w:rFonts w:ascii="Arial" w:hAnsi="Arial" w:cs="Arial"/>
        </w:rPr>
        <w:t xml:space="preserve"> Endereço Eletrônico: </w:t>
      </w:r>
      <w:hyperlink r:id="rId3" w:history="1">
        <w:r w:rsidRPr="00E62D20">
          <w:rPr>
            <w:rStyle w:val="Hyperlink"/>
            <w:rFonts w:ascii="Arial" w:hAnsi="Arial" w:cs="Arial"/>
          </w:rPr>
          <w:t>http://www.tjms.jus.br/cjsg/getArquivo.do?conversationId=&amp;cdAcordao=408919&amp;cdForo=0&amp;uuidCaptcha=sajcaptcha_59e09e94bfa44488a1bc862c3bdaa603&amp;vlCaptcha=euc&amp;novoVlCaptcha</w:t>
        </w:r>
      </w:hyperlink>
      <w:r w:rsidRPr="00E62D20">
        <w:rPr>
          <w:rFonts w:ascii="Arial" w:hAnsi="Arial" w:cs="Arial"/>
        </w:rPr>
        <w:t>=. Acesso em 10/05/2017 às 9:23 horas.</w:t>
      </w:r>
    </w:p>
  </w:footnote>
  <w:footnote w:id="8">
    <w:p w:rsidR="00E46D01" w:rsidRPr="00E62D20" w:rsidRDefault="00E46D01" w:rsidP="00E62D20">
      <w:pPr>
        <w:pStyle w:val="Textodenotaderodap"/>
        <w:jc w:val="both"/>
        <w:rPr>
          <w:rFonts w:ascii="Arial" w:hAnsi="Arial" w:cs="Arial"/>
        </w:rPr>
      </w:pPr>
      <w:r w:rsidRPr="00E62D20">
        <w:rPr>
          <w:rStyle w:val="Refdenotaderodap"/>
          <w:rFonts w:ascii="Arial" w:hAnsi="Arial" w:cs="Arial"/>
        </w:rPr>
        <w:footnoteRef/>
      </w:r>
      <w:r w:rsidRPr="00E62D20">
        <w:rPr>
          <w:rFonts w:ascii="Arial" w:hAnsi="Arial" w:cs="Arial"/>
        </w:rPr>
        <w:t xml:space="preserve"> F. 643-650 dos autos.</w:t>
      </w:r>
    </w:p>
  </w:footnote>
  <w:footnote w:id="9">
    <w:p w:rsidR="00E62D20" w:rsidRPr="00E62D20" w:rsidRDefault="00E62D20" w:rsidP="00E62D20">
      <w:pPr>
        <w:pStyle w:val="Textodenotaderodap"/>
        <w:jc w:val="both"/>
        <w:rPr>
          <w:rFonts w:ascii="Arial" w:hAnsi="Arial" w:cs="Arial"/>
          <w:lang w:val="en-US"/>
        </w:rPr>
      </w:pPr>
      <w:r w:rsidRPr="00E62D20">
        <w:rPr>
          <w:rStyle w:val="Refdenotaderodap"/>
          <w:rFonts w:ascii="Arial" w:hAnsi="Arial" w:cs="Arial"/>
        </w:rPr>
        <w:footnoteRef/>
      </w:r>
      <w:r w:rsidRPr="00E62D20">
        <w:rPr>
          <w:rFonts w:ascii="Arial" w:hAnsi="Arial" w:cs="Arial"/>
        </w:rPr>
        <w:t xml:space="preserve"> Art. 374. Não dependem de prova os fatos: [...] III - admitidos no processo como incontroversos;</w:t>
      </w:r>
    </w:p>
  </w:footnote>
  <w:footnote w:id="10">
    <w:p w:rsidR="00CC6A1F" w:rsidRPr="00E62D20" w:rsidRDefault="00CC6A1F" w:rsidP="00CC6A1F">
      <w:pPr>
        <w:pStyle w:val="Textodenotaderodap"/>
        <w:jc w:val="both"/>
        <w:rPr>
          <w:rFonts w:ascii="Arial" w:hAnsi="Arial" w:cs="Arial"/>
          <w:lang w:val="en-US"/>
        </w:rPr>
      </w:pPr>
      <w:r w:rsidRPr="00E62D20">
        <w:rPr>
          <w:rStyle w:val="Refdenotaderodap"/>
          <w:rFonts w:ascii="Arial" w:hAnsi="Arial" w:cs="Arial"/>
        </w:rPr>
        <w:footnoteRef/>
      </w:r>
      <w:r w:rsidRPr="00E62D20">
        <w:rPr>
          <w:rFonts w:ascii="Arial" w:hAnsi="Arial" w:cs="Arial"/>
        </w:rPr>
        <w:t xml:space="preserve"> Art. 374. Não dependem de prova os fatos: [...]</w:t>
      </w:r>
      <w:r>
        <w:rPr>
          <w:rFonts w:ascii="Arial" w:hAnsi="Arial" w:cs="Arial"/>
        </w:rPr>
        <w:t xml:space="preserve"> </w:t>
      </w:r>
      <w:r w:rsidRPr="00CC6A1F">
        <w:rPr>
          <w:rFonts w:ascii="Arial" w:hAnsi="Arial" w:cs="Arial"/>
        </w:rPr>
        <w:t>II - afirmados por uma parte e confessados pela parte contrária;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42" w:rsidRDefault="0023354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FA" w:rsidRDefault="00826BC4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9" type="#_x0000_t202" style="position:absolute;margin-left:134.45pt;margin-top:-18.4pt;width:342pt;height:3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VyYRACAAD6AwAADgAAAGRycy9lMm9Eb2MueG1srFPbbtswDH0fsH8Q9L7Y8Zy2MeIUXboOA7oL&#10;0O4DGFmOhVmiJimxu68vJadpsL0NSwBBMskjnsOj1fWoe3aQzis0NZ/Pcs6kEdgos6v5j8e7d1ec&#10;+QCmgR6NrPmT9Px6/fbNarCVLLDDvpGOEYjx1WBr3oVgqyzzopMa/AytNBRs0WkIdHS7rHEwELru&#10;syLPL7IBXWMdCuk9fb2dgnyd8NtWivCtbb0MrK859RbS6tK6jWu2XkG1c2A7JY5twD90oUEZuvQE&#10;dQsB2N6pv6C0Eg49tmEmUGfYtkrIxIHYzPM/2Dx0YGXiQuJ4e5LJ/z9Y8fXw3THV1LyYX3JmQNOQ&#10;NqBGYI1kj3IMyIqo0mB9RckPltLD+AFHmnZi7O09ip+eGdx0YHbyxjkcOgkNdTmPldlZ6YTjI8h2&#10;+IINXQb7gAlobJ2OEpIojNBpWk+nCVEfTNDH8j39cwoJipXlfHmRRphB9VJtnQ+fJGoWNzV35ICE&#10;Dod7H2I3UL2kxMsM3qm+Ty7oDRtqvlwUi1RwFtEqkEl7pWt+lcffZJtI8qNpUnEA1U97uqA3R9aR&#10;6EQ5jNuREqMUW2yeiL/DyYz0eGjTofvN2UBGrLn/tQcnOes/G9JwOS/L6Nx0KBeXBR3ceWR7HgEj&#10;CKrmgbNpuwnJ7RPXG9K6VUmG106OvZLBkjrHxxAdfH5OWa9Pdv0MAAD//wMAUEsDBBQABgAIAAAA&#10;IQAkDNnQ3wAAAAoBAAAPAAAAZHJzL2Rvd25yZXYueG1sTI9NT8MwDIbvSPyHyEjctoSOVW1Xd0Ig&#10;riDGh7Rb1mRtReNUTbaWf485saPtR6+ft9zOrhdnO4bOE8LdUoGwVHvTUYPw8f68yECEqMno3pNF&#10;+LEBttX1VakL4yd6s+ddbASHUCg0QhvjUEgZ6tY6HZZ+sMS3ox+djjyOjTSjnjjc9TJRKpVOd8Qf&#10;Wj3Yx9bW37uTQ/h8Oe6/7tVr8+TWw+RnJcnlEvH2Zn7YgIh2jv8w/OmzOlTsdPAnMkH0CEma5Ywi&#10;LFYpd2AiXye8OSCskgxkVcrLCtUvAAAA//8DAFBLAQItABQABgAIAAAAIQDkmcPA+wAAAOEBAAAT&#10;AAAAAAAAAAAAAAAAAAAAAABbQ29udGVudF9UeXBlc10ueG1sUEsBAi0AFAAGAAgAAAAhACOyauHX&#10;AAAAlAEAAAsAAAAAAAAAAAAAAAAALAEAAF9yZWxzLy5yZWxzUEsBAi0AFAAGAAgAAAAhACPFcmEQ&#10;AgAA+gMAAA4AAAAAAAAAAAAAAAAALAIAAGRycy9lMm9Eb2MueG1sUEsBAi0AFAAGAAgAAAAhACQM&#10;2dDfAAAACgEAAA8AAAAAAAAAAAAAAAAAaAQAAGRycy9kb3ducmV2LnhtbFBLBQYAAAAABAAEAPMA&#10;AAB0BQAAAAA=&#10;" filled="f" stroked="f">
          <v:textbox>
            <w:txbxContent>
              <w:p w:rsidR="00AA21FA" w:rsidRPr="00751D1F" w:rsidRDefault="00826BC4" w:rsidP="00751D1F">
                <w:pPr>
                  <w:spacing w:after="0" w:line="240" w:lineRule="auto"/>
                  <w:rPr>
                    <w:rFonts w:ascii="Gill Sans MT" w:hAnsi="Gill Sans MT"/>
                    <w:smallCaps/>
                    <w:sz w:val="16"/>
                    <w:szCs w:val="20"/>
                  </w:rPr>
                </w:pPr>
                <w:sdt>
                  <w:sdtPr>
                    <w:rPr>
                      <w:rFonts w:ascii="Gill Sans MT" w:hAnsi="Gill Sans MT"/>
                      <w:smallCaps/>
                      <w:sz w:val="16"/>
                      <w:szCs w:val="20"/>
                    </w:rPr>
                    <w:alias w:val="Categoria"/>
                    <w:tag w:val=""/>
                    <w:id w:val="1150560535"/>
                    <w:placeholder>
                      <w:docPart w:val="B73152C062E9415DA0F50C5C7FB83D03"/>
                    </w:placeholder>
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<w:text/>
                  </w:sdtPr>
                  <w:sdtContent>
                    <w:r w:rsidR="00AA21FA">
                      <w:rPr>
                        <w:rFonts w:ascii="Gill Sans MT" w:hAnsi="Gill Sans MT"/>
                        <w:smallCaps/>
                        <w:sz w:val="16"/>
                        <w:szCs w:val="20"/>
                      </w:rPr>
                      <w:t>Processo n. 0013704-10.1999.8.12.0001/004</w:t>
                    </w:r>
                  </w:sdtContent>
                </w:sdt>
              </w:p>
              <w:p w:rsidR="00AA21FA" w:rsidRPr="00751D1F" w:rsidRDefault="00AA21FA" w:rsidP="00751D1F">
                <w:pPr>
                  <w:spacing w:after="0" w:line="240" w:lineRule="auto"/>
                  <w:rPr>
                    <w:rFonts w:ascii="Gill Sans MT" w:hAnsi="Gill Sans MT"/>
                    <w:smallCaps/>
                    <w:sz w:val="16"/>
                    <w:szCs w:val="20"/>
                  </w:rPr>
                </w:pPr>
                <w:r>
                  <w:rPr>
                    <w:rFonts w:ascii="Gill Sans MT" w:hAnsi="Gill Sans MT"/>
                    <w:smallCaps/>
                    <w:sz w:val="16"/>
                    <w:szCs w:val="20"/>
                  </w:rPr>
                  <w:t>Exequente</w:t>
                </w:r>
                <w:r w:rsidRPr="00751D1F">
                  <w:rPr>
                    <w:rFonts w:ascii="Gill Sans MT" w:hAnsi="Gill Sans MT"/>
                    <w:smallCaps/>
                    <w:sz w:val="16"/>
                    <w:szCs w:val="20"/>
                  </w:rPr>
                  <w:t xml:space="preserve">: </w:t>
                </w:r>
                <w:sdt>
                  <w:sdtPr>
                    <w:rPr>
                      <w:rFonts w:ascii="Gill Sans MT" w:hAnsi="Gill Sans MT"/>
                      <w:smallCaps/>
                      <w:sz w:val="16"/>
                      <w:szCs w:val="20"/>
                    </w:rPr>
                    <w:alias w:val="Autor"/>
                    <w:tag w:val=""/>
                    <w:id w:val="-1471662219"/>
                    <w:placeholder>
                      <w:docPart w:val="0808807DD7CA4FABB4D565B6EAFBBA36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Content>
                    <w:r>
                      <w:rPr>
                        <w:rFonts w:ascii="Gill Sans MT" w:hAnsi="Gill Sans MT"/>
                        <w:smallCaps/>
                        <w:sz w:val="16"/>
                        <w:szCs w:val="20"/>
                      </w:rPr>
                      <w:t>SINDIJUS/MS</w:t>
                    </w:r>
                  </w:sdtContent>
                </w:sdt>
                <w:r w:rsidRPr="00751D1F">
                  <w:rPr>
                    <w:rFonts w:ascii="Gill Sans MT" w:hAnsi="Gill Sans MT"/>
                    <w:smallCaps/>
                    <w:sz w:val="16"/>
                    <w:szCs w:val="20"/>
                  </w:rPr>
                  <w:t xml:space="preserve"> </w:t>
                </w:r>
              </w:p>
              <w:p w:rsidR="00AA21FA" w:rsidRPr="00751D1F" w:rsidRDefault="00AA21FA" w:rsidP="00751D1F">
                <w:pPr>
                  <w:spacing w:after="0" w:line="240" w:lineRule="auto"/>
                  <w:rPr>
                    <w:rFonts w:ascii="Gill Sans MT" w:hAnsi="Gill Sans MT"/>
                    <w:smallCaps/>
                    <w:sz w:val="16"/>
                    <w:szCs w:val="20"/>
                  </w:rPr>
                </w:pPr>
                <w:r>
                  <w:rPr>
                    <w:rFonts w:ascii="Gill Sans MT" w:hAnsi="Gill Sans MT" w:cs="Arial"/>
                    <w:smallCaps/>
                    <w:sz w:val="16"/>
                    <w:szCs w:val="20"/>
                  </w:rPr>
                  <w:t>Executado</w:t>
                </w:r>
                <w:r w:rsidRPr="00751D1F">
                  <w:rPr>
                    <w:rFonts w:ascii="Gill Sans MT" w:hAnsi="Gill Sans MT" w:cs="Arial"/>
                    <w:smallCaps/>
                    <w:sz w:val="16"/>
                    <w:szCs w:val="20"/>
                  </w:rPr>
                  <w:t xml:space="preserve">: </w:t>
                </w:r>
                <w:sdt>
                  <w:sdtPr>
                    <w:rPr>
                      <w:rFonts w:ascii="Gill Sans MT" w:hAnsi="Gill Sans MT" w:cs="Arial"/>
                      <w:smallCaps/>
                      <w:sz w:val="16"/>
                      <w:szCs w:val="20"/>
                    </w:rPr>
                    <w:alias w:val="Assunto"/>
                    <w:tag w:val=""/>
                    <w:id w:val="-815949576"/>
                    <w:placeholder>
                      <w:docPart w:val="2043C62BB04A44279407B0FC2CC483C4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Content>
                    <w:r>
                      <w:rPr>
                        <w:rFonts w:ascii="Gill Sans MT" w:hAnsi="Gill Sans MT" w:cs="Arial"/>
                        <w:smallCaps/>
                        <w:sz w:val="16"/>
                        <w:szCs w:val="20"/>
                      </w:rPr>
                      <w:t>Estado do Mato Grosso do Sul</w:t>
                    </w:r>
                  </w:sdtContent>
                </w:sdt>
              </w:p>
            </w:txbxContent>
          </v:textbox>
          <w10:wrap type="square" anchorx="margin"/>
        </v:shape>
      </w:pict>
    </w:r>
    <w:r w:rsidRPr="00826BC4">
      <w:rPr>
        <w:noProof/>
        <w:sz w:val="2"/>
        <w:szCs w:val="2"/>
        <w:lang w:eastAsia="pt-BR"/>
      </w:rPr>
      <w:pict>
        <v:shape id="_x0000_s4098" type="#_x0000_t202" style="position:absolute;margin-left:520.7pt;margin-top:-.4pt;width:49.4pt;height:2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O++hECAAD+AwAADgAAAGRycy9lMm9Eb2MueG1srFPLbtswELwX6D8QvNeSFdtxBMtB6jRFgfQB&#10;JP2ANUVZREmuStKW3K/vknIco70V1YEgtdzZndnh6nYwmh2k8wptxaeTnDNpBdbK7ir+/fnh3ZIz&#10;H8DWoNHKih+l57frt29WfVfKAlvUtXSMQKwv+67ibQhdmWVetNKAn2AnLQUbdAYCHd0uqx30hG50&#10;VuT5IuvR1Z1DIb2nv/djkK8TftNIEb42jZeB6YpTbyGtLq3buGbrFZQ7B12rxKkN+IcuDChLRc9Q&#10;9xCA7Z36C8oo4dBjEyYCTYZNo4RMHIjNNP+DzVMLnUxcSBzfnWXy/w9WfDl8c0zVFZ9zZsHQiDag&#10;BmC1ZM9yCMiKqFHf+ZKuPnV0OQzvcaBZJ76+e0TxwzOLmxbsTt45h30roaYepzEzu0gdcXwE2faf&#10;saZisA+YgIbGmSggScIInWZ1PM+H+mCCfi6K66slRQSFrvLFdT5PFaB8Se6cDx8lGhY3FXc0/gQO&#10;h0cfYjNQvlyJtSw+KK2TBbRlfcVv5sU8JVxEjArkUK1MxZd5/EbPRI4fbJ2SAyg97qmAtifSkefI&#10;OAzbIWmcFImCbLE+kgoOR0PSA6JNi+4XZz2ZseL+5x6c5Ex/sqTkzXQ2i+5Nh9n8uqCDu4xsLyNg&#10;BUFVPHA2bjchOX6kfEeKNyqp8drJqWUyWRLp9CCiiy/P6dbrs13/BgAA//8DAFBLAwQUAAYACAAA&#10;ACEAe+9LntwAAAAKAQAADwAAAGRycy9kb3ducmV2LnhtbEyPwU7DMBBE70j8g7VI3KidyoUS4lQI&#10;xBVEgUrc3HibRMTrKHab8PdsTvQ42qfZN8Vm8p044RDbQAayhQKBVAXXUm3g8+PlZg0iJkvOdoHQ&#10;wC9G2JSXF4XNXRjpHU/bVAsuoZhbA01KfS5lrBr0Ni5Cj8S3Qxi8TRyHWrrBjlzuO7lU6lZ62xJ/&#10;aGyPTw1WP9ujN/D1evjeafVWP/tVP4ZJSfL30pjrq+nxAUTCKf3DMOuzOpTstA9HclF0nJXONLMG&#10;5gkzkGm1BLE3oO9WIMtCnk8o/wAAAP//AwBQSwECLQAUAAYACAAAACEA5JnDwPsAAADhAQAAEwAA&#10;AAAAAAAAAAAAAAAAAAAAW0NvbnRlbnRfVHlwZXNdLnhtbFBLAQItABQABgAIAAAAIQAjsmrh1wAA&#10;AJQBAAALAAAAAAAAAAAAAAAAACwBAABfcmVscy8ucmVsc1BLAQItABQABgAIAAAAIQDK0776EQIA&#10;AP4DAAAOAAAAAAAAAAAAAAAAACwCAABkcnMvZTJvRG9jLnhtbFBLAQItABQABgAIAAAAIQB770ue&#10;3AAAAAoBAAAPAAAAAAAAAAAAAAAAAGkEAABkcnMvZG93bnJldi54bWxQSwUGAAAAAAQABADzAAAA&#10;cgUAAAAA&#10;" filled="f" stroked="f">
          <v:textbox>
            <w:txbxContent>
              <w:p w:rsidR="00AA21FA" w:rsidRPr="00E660BA" w:rsidRDefault="00AA21FA">
                <w:pPr>
                  <w:rPr>
                    <w:rFonts w:ascii="Gill Sans MT" w:hAnsi="Gill Sans MT"/>
                    <w:smallCaps/>
                    <w:sz w:val="16"/>
                    <w:szCs w:val="16"/>
                  </w:rPr>
                </w:pPr>
                <w:r>
                  <w:rPr>
                    <w:rFonts w:ascii="Gill Sans MT" w:hAnsi="Gill Sans MT"/>
                    <w:b/>
                    <w:bCs/>
                    <w:smallCaps/>
                    <w:sz w:val="16"/>
                    <w:szCs w:val="16"/>
                  </w:rPr>
                  <w:t xml:space="preserve">f. </w:t>
                </w:r>
                <w:r w:rsidR="00826BC4" w:rsidRPr="00E660BA">
                  <w:rPr>
                    <w:rFonts w:ascii="Gill Sans MT" w:hAnsi="Gill Sans MT"/>
                    <w:b/>
                    <w:bCs/>
                    <w:smallCaps/>
                    <w:sz w:val="16"/>
                    <w:szCs w:val="16"/>
                  </w:rPr>
                  <w:fldChar w:fldCharType="begin"/>
                </w:r>
                <w:r w:rsidRPr="00E660BA">
                  <w:rPr>
                    <w:rFonts w:ascii="Gill Sans MT" w:hAnsi="Gill Sans MT"/>
                    <w:b/>
                    <w:bCs/>
                    <w:smallCaps/>
                    <w:sz w:val="16"/>
                    <w:szCs w:val="16"/>
                  </w:rPr>
                  <w:instrText>PAGE  \* Arabic  \* MERGEFORMAT</w:instrText>
                </w:r>
                <w:r w:rsidR="00826BC4" w:rsidRPr="00E660BA">
                  <w:rPr>
                    <w:rFonts w:ascii="Gill Sans MT" w:hAnsi="Gill Sans MT"/>
                    <w:b/>
                    <w:bCs/>
                    <w:smallCaps/>
                    <w:sz w:val="16"/>
                    <w:szCs w:val="16"/>
                  </w:rPr>
                  <w:fldChar w:fldCharType="separate"/>
                </w:r>
                <w:r w:rsidR="004E6703">
                  <w:rPr>
                    <w:rFonts w:ascii="Gill Sans MT" w:hAnsi="Gill Sans MT"/>
                    <w:b/>
                    <w:bCs/>
                    <w:smallCaps/>
                    <w:noProof/>
                    <w:sz w:val="16"/>
                    <w:szCs w:val="16"/>
                  </w:rPr>
                  <w:t>9</w:t>
                </w:r>
                <w:r w:rsidR="00826BC4" w:rsidRPr="00E660BA">
                  <w:rPr>
                    <w:rFonts w:ascii="Gill Sans MT" w:hAnsi="Gill Sans MT"/>
                    <w:b/>
                    <w:bCs/>
                    <w:smallCaps/>
                    <w:sz w:val="16"/>
                    <w:szCs w:val="16"/>
                  </w:rPr>
                  <w:fldChar w:fldCharType="end"/>
                </w:r>
                <w:r w:rsidRPr="00E660BA">
                  <w:rPr>
                    <w:rFonts w:ascii="Gill Sans MT" w:hAnsi="Gill Sans MT"/>
                    <w:smallCaps/>
                    <w:sz w:val="16"/>
                    <w:szCs w:val="16"/>
                  </w:rPr>
                  <w:t xml:space="preserve"> de </w:t>
                </w:r>
                <w:fldSimple w:instr="NUMPAGES  \* Arabic  \* MERGEFORMAT">
                  <w:r w:rsidR="004E6703">
                    <w:rPr>
                      <w:rFonts w:ascii="Gill Sans MT" w:hAnsi="Gill Sans MT"/>
                      <w:b/>
                      <w:bCs/>
                      <w:smallCaps/>
                      <w:noProof/>
                      <w:sz w:val="16"/>
                      <w:szCs w:val="16"/>
                    </w:rPr>
                    <w:t>9</w:t>
                  </w:r>
                </w:fldSimple>
              </w:p>
            </w:txbxContent>
          </v:textbox>
          <w10:wrap type="square" anchorx="page"/>
        </v:shape>
      </w:pict>
    </w:r>
    <w:r w:rsidR="00AA21FA">
      <w:rPr>
        <w:noProof/>
        <w:lang w:eastAsia="pt-BR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-1062355</wp:posOffset>
          </wp:positionH>
          <wp:positionV relativeFrom="paragraph">
            <wp:posOffset>-288290</wp:posOffset>
          </wp:positionV>
          <wp:extent cx="7513200" cy="1018800"/>
          <wp:effectExtent l="0" t="0" r="0" b="0"/>
          <wp:wrapNone/>
          <wp:docPr id="194" name="Imagem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_TOP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t="20818" b="18978"/>
                  <a:stretch/>
                </pic:blipFill>
                <pic:spPr bwMode="auto">
                  <a:xfrm>
                    <a:off x="0" y="0"/>
                    <a:ext cx="7513200" cy="101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AA21FA" w:rsidRDefault="00AA21F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FA" w:rsidRDefault="00826BC4" w:rsidP="008927C6">
    <w:pPr>
      <w:pStyle w:val="Cabealho"/>
      <w:ind w:left="-1701"/>
      <w:rPr>
        <w:noProof/>
        <w:lang w:eastAsia="pt-BR"/>
      </w:rPr>
    </w:pPr>
    <w:r w:rsidRPr="00826BC4">
      <w:rPr>
        <w:noProof/>
        <w:sz w:val="2"/>
        <w:szCs w:val="2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523.9pt;margin-top:-.5pt;width:49.3pt;height:24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RGkhACAAAABAAADgAAAGRycy9lMm9Eb2MueG1srFPbbtswDH0fsH8Q9L7YyZK0MeIUXboOA7oL&#10;0O4DGFmOhUmiJimxu68fJadZsL0NexEokTzkOaTWN4PR7Ch9UGhrPp2UnEkrsFF2X/NvT/dvrjkL&#10;EWwDGq2s+bMM/Gbz+tW6d5WcYYe6kZ4RiA1V72rexeiqogiikwbCBJ205GzRG4h09fui8dATutHF&#10;rCyXRY++cR6FDIFe70Yn32T8tpUifmnbICPTNafeYj59PnfpLDZrqPYeXKfEqQ34hy4MKEtFz1B3&#10;EIEdvPoLyijhMWAbJwJNgW2rhMwciM20/IPNYwdOZi4kTnBnmcL/gxWfj189Uw3NbnXFmQVDQ9qC&#10;GoA1kj3JISKbJZV6FyoKfnQUHod3OFBGZhzcA4rvgVncdmD38tZ77DsJDXU5TZnFReqIExLIrv+E&#10;DRWDQ8QMNLTeJAlJFEboNK3n84SoDybocTlbzkvyCHK9LZcl2akCVC/Jzof4QaJhyai5pwXI4HB8&#10;CHEMfQlJtSzeK63pHSptWV/z1WK2yAkXHqMi7ahWpubXVHGsCVXi+N42OTmC0qNNvWh7Ip14jozj&#10;sBuyymctd9g8kwoex5WkL0RGh/4nZz2tY83DjwN4yZn+aEnJ1XQ+T/ubL/PF1Ywu/tKzu/SAFQRV&#10;88jZaG5j3vmR8i0p3qqsRhrN2MmpZVqzrOfpS6Q9vrznqN8fd/MLAAD//wMAUEsDBBQABgAIAAAA&#10;IQCZkkGD3gAAAAsBAAAPAAAAZHJzL2Rvd25yZXYueG1sTI/BTsMwEETvSPyDtUjcWjuVaSHEqRCI&#10;K4gClXpz420SEa+j2G3C37M90eNoRjNvivXkO3HCIbaBDGRzBQKpCq6l2sDX5+vsHkRMlpztAqGB&#10;X4ywLq+vCpu7MNIHnjapFlxCMbcGmpT6XMpYNehtnIceib1DGLxNLIdausGOXO47uVBqKb1tiRca&#10;2+Nzg9XP5ugNfL8ddlut3usXf9ePYVKS/IM05vZmenoEkXBK/2E44zM6lMy0D0dyUXSslV4xezIw&#10;y/jUOZHppQaxN6BXC5BlIS8/lH8AAAD//wMAUEsBAi0AFAAGAAgAAAAhAOSZw8D7AAAA4QEAABMA&#10;AAAAAAAAAAAAAAAAAAAAAFtDb250ZW50X1R5cGVzXS54bWxQSwECLQAUAAYACAAAACEAI7Jq4dcA&#10;AACUAQAACwAAAAAAAAAAAAAAAAAsAQAAX3JlbHMvLnJlbHNQSwECLQAUAAYACAAAACEA9xRGkhAC&#10;AAAABAAADgAAAAAAAAAAAAAAAAAsAgAAZHJzL2Uyb0RvYy54bWxQSwECLQAUAAYACAAAACEAmZJB&#10;g94AAAALAQAADwAAAAAAAAAAAAAAAABoBAAAZHJzL2Rvd25yZXYueG1sUEsFBgAAAAAEAAQA8wAA&#10;AHMFAAAAAA==&#10;" filled="f" stroked="f">
          <v:textbox>
            <w:txbxContent>
              <w:p w:rsidR="00AA21FA" w:rsidRPr="00E660BA" w:rsidRDefault="00AA21FA" w:rsidP="00F27051">
                <w:pPr>
                  <w:rPr>
                    <w:rFonts w:ascii="Gill Sans MT" w:hAnsi="Gill Sans MT"/>
                    <w:smallCaps/>
                    <w:sz w:val="16"/>
                    <w:szCs w:val="16"/>
                  </w:rPr>
                </w:pPr>
                <w:r>
                  <w:rPr>
                    <w:rFonts w:ascii="Gill Sans MT" w:hAnsi="Gill Sans MT"/>
                    <w:b/>
                    <w:bCs/>
                    <w:smallCaps/>
                    <w:sz w:val="16"/>
                    <w:szCs w:val="16"/>
                  </w:rPr>
                  <w:t xml:space="preserve">f. </w:t>
                </w:r>
                <w:r w:rsidR="00826BC4" w:rsidRPr="00E660BA">
                  <w:rPr>
                    <w:rFonts w:ascii="Gill Sans MT" w:hAnsi="Gill Sans MT"/>
                    <w:b/>
                    <w:bCs/>
                    <w:smallCaps/>
                    <w:sz w:val="16"/>
                    <w:szCs w:val="16"/>
                  </w:rPr>
                  <w:fldChar w:fldCharType="begin"/>
                </w:r>
                <w:r w:rsidRPr="00E660BA">
                  <w:rPr>
                    <w:rFonts w:ascii="Gill Sans MT" w:hAnsi="Gill Sans MT"/>
                    <w:b/>
                    <w:bCs/>
                    <w:smallCaps/>
                    <w:sz w:val="16"/>
                    <w:szCs w:val="16"/>
                  </w:rPr>
                  <w:instrText>PAGE  \* Arabic  \* MERGEFORMAT</w:instrText>
                </w:r>
                <w:r w:rsidR="00826BC4" w:rsidRPr="00E660BA">
                  <w:rPr>
                    <w:rFonts w:ascii="Gill Sans MT" w:hAnsi="Gill Sans MT"/>
                    <w:b/>
                    <w:bCs/>
                    <w:smallCaps/>
                    <w:sz w:val="16"/>
                    <w:szCs w:val="16"/>
                  </w:rPr>
                  <w:fldChar w:fldCharType="separate"/>
                </w:r>
                <w:r w:rsidR="004E6703">
                  <w:rPr>
                    <w:rFonts w:ascii="Gill Sans MT" w:hAnsi="Gill Sans MT"/>
                    <w:b/>
                    <w:bCs/>
                    <w:smallCaps/>
                    <w:noProof/>
                    <w:sz w:val="16"/>
                    <w:szCs w:val="16"/>
                  </w:rPr>
                  <w:t>1</w:t>
                </w:r>
                <w:r w:rsidR="00826BC4" w:rsidRPr="00E660BA">
                  <w:rPr>
                    <w:rFonts w:ascii="Gill Sans MT" w:hAnsi="Gill Sans MT"/>
                    <w:b/>
                    <w:bCs/>
                    <w:smallCaps/>
                    <w:sz w:val="16"/>
                    <w:szCs w:val="16"/>
                  </w:rPr>
                  <w:fldChar w:fldCharType="end"/>
                </w:r>
                <w:r w:rsidRPr="00E660BA">
                  <w:rPr>
                    <w:rFonts w:ascii="Gill Sans MT" w:hAnsi="Gill Sans MT"/>
                    <w:smallCaps/>
                    <w:sz w:val="16"/>
                    <w:szCs w:val="16"/>
                  </w:rPr>
                  <w:t xml:space="preserve"> de </w:t>
                </w:r>
                <w:fldSimple w:instr="NUMPAGES  \* Arabic  \* MERGEFORMAT">
                  <w:r w:rsidR="004E6703">
                    <w:rPr>
                      <w:rFonts w:ascii="Gill Sans MT" w:hAnsi="Gill Sans MT"/>
                      <w:b/>
                      <w:bCs/>
                      <w:smallCaps/>
                      <w:noProof/>
                      <w:sz w:val="16"/>
                      <w:szCs w:val="16"/>
                    </w:rPr>
                    <w:t>9</w:t>
                  </w:r>
                </w:fldSimple>
              </w:p>
            </w:txbxContent>
          </v:textbox>
          <w10:wrap type="square" anchorx="page"/>
        </v:shape>
      </w:pict>
    </w:r>
    <w:r w:rsidR="00AA21FA">
      <w:rPr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-288290</wp:posOffset>
          </wp:positionV>
          <wp:extent cx="7513200" cy="1018800"/>
          <wp:effectExtent l="0" t="0" r="0" b="0"/>
          <wp:wrapNone/>
          <wp:docPr id="195" name="Imagem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_TOP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t="20818" b="18978"/>
                  <a:stretch/>
                </pic:blipFill>
                <pic:spPr bwMode="auto">
                  <a:xfrm>
                    <a:off x="0" y="0"/>
                    <a:ext cx="7513200" cy="101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AA21FA" w:rsidRDefault="00AA21FA" w:rsidP="008927C6">
    <w:pPr>
      <w:pStyle w:val="Cabealho"/>
      <w:ind w:lef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0372"/>
    <w:multiLevelType w:val="hybridMultilevel"/>
    <w:tmpl w:val="F6B63598"/>
    <w:lvl w:ilvl="0" w:tplc="47168DAE">
      <w:start w:val="1"/>
      <w:numFmt w:val="upperLetter"/>
      <w:lvlText w:val="%1."/>
      <w:lvlJc w:val="left"/>
      <w:pPr>
        <w:ind w:left="1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80" w:hanging="360"/>
      </w:pPr>
    </w:lvl>
    <w:lvl w:ilvl="2" w:tplc="0416001B" w:tentative="1">
      <w:start w:val="1"/>
      <w:numFmt w:val="lowerRoman"/>
      <w:lvlText w:val="%3."/>
      <w:lvlJc w:val="right"/>
      <w:pPr>
        <w:ind w:left="2900" w:hanging="180"/>
      </w:pPr>
    </w:lvl>
    <w:lvl w:ilvl="3" w:tplc="0416000F" w:tentative="1">
      <w:start w:val="1"/>
      <w:numFmt w:val="decimal"/>
      <w:lvlText w:val="%4."/>
      <w:lvlJc w:val="left"/>
      <w:pPr>
        <w:ind w:left="3620" w:hanging="360"/>
      </w:pPr>
    </w:lvl>
    <w:lvl w:ilvl="4" w:tplc="04160019" w:tentative="1">
      <w:start w:val="1"/>
      <w:numFmt w:val="lowerLetter"/>
      <w:lvlText w:val="%5."/>
      <w:lvlJc w:val="left"/>
      <w:pPr>
        <w:ind w:left="4340" w:hanging="360"/>
      </w:pPr>
    </w:lvl>
    <w:lvl w:ilvl="5" w:tplc="0416001B" w:tentative="1">
      <w:start w:val="1"/>
      <w:numFmt w:val="lowerRoman"/>
      <w:lvlText w:val="%6."/>
      <w:lvlJc w:val="right"/>
      <w:pPr>
        <w:ind w:left="5060" w:hanging="180"/>
      </w:pPr>
    </w:lvl>
    <w:lvl w:ilvl="6" w:tplc="0416000F" w:tentative="1">
      <w:start w:val="1"/>
      <w:numFmt w:val="decimal"/>
      <w:lvlText w:val="%7."/>
      <w:lvlJc w:val="left"/>
      <w:pPr>
        <w:ind w:left="5780" w:hanging="360"/>
      </w:pPr>
    </w:lvl>
    <w:lvl w:ilvl="7" w:tplc="04160019" w:tentative="1">
      <w:start w:val="1"/>
      <w:numFmt w:val="lowerLetter"/>
      <w:lvlText w:val="%8."/>
      <w:lvlJc w:val="left"/>
      <w:pPr>
        <w:ind w:left="6500" w:hanging="360"/>
      </w:pPr>
    </w:lvl>
    <w:lvl w:ilvl="8" w:tplc="0416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1F1C30DE"/>
    <w:multiLevelType w:val="hybridMultilevel"/>
    <w:tmpl w:val="5E5AFE76"/>
    <w:lvl w:ilvl="0" w:tplc="FF24A93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C000" w:themeColor="accent4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1C6586"/>
    <w:multiLevelType w:val="hybridMultilevel"/>
    <w:tmpl w:val="0336A91E"/>
    <w:lvl w:ilvl="0" w:tplc="C1660AA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u w:color="FFC000" w:themeColor="accent4"/>
      </w:rPr>
    </w:lvl>
    <w:lvl w:ilvl="1" w:tplc="C1660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FFC000" w:themeColor="accent4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D5036"/>
    <w:multiLevelType w:val="hybridMultilevel"/>
    <w:tmpl w:val="D024B5C8"/>
    <w:lvl w:ilvl="0" w:tplc="04160011">
      <w:start w:val="1"/>
      <w:numFmt w:val="decimal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>
    <w:nsid w:val="789363DA"/>
    <w:multiLevelType w:val="hybridMultilevel"/>
    <w:tmpl w:val="7CAAE86A"/>
    <w:lvl w:ilvl="0" w:tplc="E1A8885A">
      <w:start w:val="1"/>
      <w:numFmt w:val="upperRoman"/>
      <w:lvlText w:val="%1."/>
      <w:lvlJc w:val="right"/>
      <w:pPr>
        <w:ind w:left="193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650" w:hanging="360"/>
      </w:pPr>
    </w:lvl>
    <w:lvl w:ilvl="2" w:tplc="0416001B" w:tentative="1">
      <w:start w:val="1"/>
      <w:numFmt w:val="lowerRoman"/>
      <w:lvlText w:val="%3."/>
      <w:lvlJc w:val="right"/>
      <w:pPr>
        <w:ind w:left="3370" w:hanging="180"/>
      </w:pPr>
    </w:lvl>
    <w:lvl w:ilvl="3" w:tplc="0416000F" w:tentative="1">
      <w:start w:val="1"/>
      <w:numFmt w:val="decimal"/>
      <w:lvlText w:val="%4."/>
      <w:lvlJc w:val="left"/>
      <w:pPr>
        <w:ind w:left="4090" w:hanging="360"/>
      </w:pPr>
    </w:lvl>
    <w:lvl w:ilvl="4" w:tplc="04160019" w:tentative="1">
      <w:start w:val="1"/>
      <w:numFmt w:val="lowerLetter"/>
      <w:lvlText w:val="%5."/>
      <w:lvlJc w:val="left"/>
      <w:pPr>
        <w:ind w:left="4810" w:hanging="360"/>
      </w:pPr>
    </w:lvl>
    <w:lvl w:ilvl="5" w:tplc="0416001B" w:tentative="1">
      <w:start w:val="1"/>
      <w:numFmt w:val="lowerRoman"/>
      <w:lvlText w:val="%6."/>
      <w:lvlJc w:val="right"/>
      <w:pPr>
        <w:ind w:left="5530" w:hanging="180"/>
      </w:pPr>
    </w:lvl>
    <w:lvl w:ilvl="6" w:tplc="0416000F" w:tentative="1">
      <w:start w:val="1"/>
      <w:numFmt w:val="decimal"/>
      <w:lvlText w:val="%7."/>
      <w:lvlJc w:val="left"/>
      <w:pPr>
        <w:ind w:left="6250" w:hanging="360"/>
      </w:pPr>
    </w:lvl>
    <w:lvl w:ilvl="7" w:tplc="04160019" w:tentative="1">
      <w:start w:val="1"/>
      <w:numFmt w:val="lowerLetter"/>
      <w:lvlText w:val="%8."/>
      <w:lvlJc w:val="left"/>
      <w:pPr>
        <w:ind w:left="6970" w:hanging="360"/>
      </w:pPr>
    </w:lvl>
    <w:lvl w:ilvl="8" w:tplc="0416001B" w:tentative="1">
      <w:start w:val="1"/>
      <w:numFmt w:val="lowerRoman"/>
      <w:lvlText w:val="%9."/>
      <w:lvlJc w:val="right"/>
      <w:pPr>
        <w:ind w:left="769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defaultTabStop w:val="708"/>
  <w:hyphenationZone w:val="425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23807"/>
    <w:rsid w:val="00001920"/>
    <w:rsid w:val="00004DD5"/>
    <w:rsid w:val="00004E60"/>
    <w:rsid w:val="00005B6D"/>
    <w:rsid w:val="00010DAE"/>
    <w:rsid w:val="00014BFB"/>
    <w:rsid w:val="000379E2"/>
    <w:rsid w:val="00042F4C"/>
    <w:rsid w:val="00051ACC"/>
    <w:rsid w:val="0006091F"/>
    <w:rsid w:val="00060D8D"/>
    <w:rsid w:val="00071C84"/>
    <w:rsid w:val="00071CCB"/>
    <w:rsid w:val="00093CC0"/>
    <w:rsid w:val="00096098"/>
    <w:rsid w:val="000A380C"/>
    <w:rsid w:val="000C32C2"/>
    <w:rsid w:val="000D0FEA"/>
    <w:rsid w:val="000D1DA5"/>
    <w:rsid w:val="000D4607"/>
    <w:rsid w:val="000F6B29"/>
    <w:rsid w:val="00123657"/>
    <w:rsid w:val="0012413A"/>
    <w:rsid w:val="0013489A"/>
    <w:rsid w:val="00175C32"/>
    <w:rsid w:val="0018112C"/>
    <w:rsid w:val="00195EB6"/>
    <w:rsid w:val="001C7139"/>
    <w:rsid w:val="001D110A"/>
    <w:rsid w:val="001D5913"/>
    <w:rsid w:val="001E5AE5"/>
    <w:rsid w:val="002120E4"/>
    <w:rsid w:val="00212ECD"/>
    <w:rsid w:val="00215785"/>
    <w:rsid w:val="00217381"/>
    <w:rsid w:val="002241EF"/>
    <w:rsid w:val="00233542"/>
    <w:rsid w:val="00235A30"/>
    <w:rsid w:val="002379B5"/>
    <w:rsid w:val="00275DA2"/>
    <w:rsid w:val="00283035"/>
    <w:rsid w:val="00294FB3"/>
    <w:rsid w:val="002A026E"/>
    <w:rsid w:val="002A7DB1"/>
    <w:rsid w:val="002B0558"/>
    <w:rsid w:val="002B0559"/>
    <w:rsid w:val="002C0428"/>
    <w:rsid w:val="002D4C00"/>
    <w:rsid w:val="002D5793"/>
    <w:rsid w:val="002E1E11"/>
    <w:rsid w:val="002E3455"/>
    <w:rsid w:val="003028C8"/>
    <w:rsid w:val="00302C4D"/>
    <w:rsid w:val="00323D1C"/>
    <w:rsid w:val="0034113F"/>
    <w:rsid w:val="00356398"/>
    <w:rsid w:val="003641D0"/>
    <w:rsid w:val="00364B46"/>
    <w:rsid w:val="003675C2"/>
    <w:rsid w:val="00387C12"/>
    <w:rsid w:val="00391994"/>
    <w:rsid w:val="003A1E33"/>
    <w:rsid w:val="003B52C1"/>
    <w:rsid w:val="003D5F3F"/>
    <w:rsid w:val="003E0709"/>
    <w:rsid w:val="003F44FD"/>
    <w:rsid w:val="00406DE9"/>
    <w:rsid w:val="004610F5"/>
    <w:rsid w:val="0046488D"/>
    <w:rsid w:val="004675C6"/>
    <w:rsid w:val="00471739"/>
    <w:rsid w:val="00474D22"/>
    <w:rsid w:val="00476098"/>
    <w:rsid w:val="00480B7F"/>
    <w:rsid w:val="004832DC"/>
    <w:rsid w:val="00493C7A"/>
    <w:rsid w:val="004B6AD9"/>
    <w:rsid w:val="004E6703"/>
    <w:rsid w:val="004F6CEE"/>
    <w:rsid w:val="004F7441"/>
    <w:rsid w:val="00502E27"/>
    <w:rsid w:val="00510EF2"/>
    <w:rsid w:val="0051414D"/>
    <w:rsid w:val="00534C0B"/>
    <w:rsid w:val="00545A0C"/>
    <w:rsid w:val="00554587"/>
    <w:rsid w:val="00570E8D"/>
    <w:rsid w:val="00573476"/>
    <w:rsid w:val="0057350F"/>
    <w:rsid w:val="00576F9A"/>
    <w:rsid w:val="005770F0"/>
    <w:rsid w:val="0058224B"/>
    <w:rsid w:val="00582DC2"/>
    <w:rsid w:val="00593FA0"/>
    <w:rsid w:val="005A0113"/>
    <w:rsid w:val="005D47ED"/>
    <w:rsid w:val="005E592F"/>
    <w:rsid w:val="00603E9B"/>
    <w:rsid w:val="00603F64"/>
    <w:rsid w:val="00610C30"/>
    <w:rsid w:val="006232FA"/>
    <w:rsid w:val="006259A7"/>
    <w:rsid w:val="006279C5"/>
    <w:rsid w:val="0063162B"/>
    <w:rsid w:val="006754F1"/>
    <w:rsid w:val="00676C5C"/>
    <w:rsid w:val="006A62E2"/>
    <w:rsid w:val="006D3175"/>
    <w:rsid w:val="007054F8"/>
    <w:rsid w:val="00727A54"/>
    <w:rsid w:val="00734D47"/>
    <w:rsid w:val="0074339C"/>
    <w:rsid w:val="0074429A"/>
    <w:rsid w:val="007458AC"/>
    <w:rsid w:val="00751D1F"/>
    <w:rsid w:val="00764314"/>
    <w:rsid w:val="00772CC9"/>
    <w:rsid w:val="00784A76"/>
    <w:rsid w:val="00784E45"/>
    <w:rsid w:val="00785A4C"/>
    <w:rsid w:val="00787043"/>
    <w:rsid w:val="007B6AD6"/>
    <w:rsid w:val="007C405D"/>
    <w:rsid w:val="007C6936"/>
    <w:rsid w:val="007D57D5"/>
    <w:rsid w:val="007F2EF1"/>
    <w:rsid w:val="008142F4"/>
    <w:rsid w:val="0082160B"/>
    <w:rsid w:val="00826BC4"/>
    <w:rsid w:val="00840E3C"/>
    <w:rsid w:val="008433B1"/>
    <w:rsid w:val="00843F17"/>
    <w:rsid w:val="00854FBA"/>
    <w:rsid w:val="008645CB"/>
    <w:rsid w:val="00884E4E"/>
    <w:rsid w:val="00885FD4"/>
    <w:rsid w:val="008927C6"/>
    <w:rsid w:val="008A20DE"/>
    <w:rsid w:val="008A7218"/>
    <w:rsid w:val="008B1EE1"/>
    <w:rsid w:val="008B5D51"/>
    <w:rsid w:val="008C33F3"/>
    <w:rsid w:val="00914BEA"/>
    <w:rsid w:val="0092547A"/>
    <w:rsid w:val="009276E8"/>
    <w:rsid w:val="00933CED"/>
    <w:rsid w:val="009407C7"/>
    <w:rsid w:val="00944C50"/>
    <w:rsid w:val="00952E58"/>
    <w:rsid w:val="00954BED"/>
    <w:rsid w:val="0097063B"/>
    <w:rsid w:val="009904DB"/>
    <w:rsid w:val="00997E1F"/>
    <w:rsid w:val="009A46D8"/>
    <w:rsid w:val="009C302C"/>
    <w:rsid w:val="009C61BD"/>
    <w:rsid w:val="009F034B"/>
    <w:rsid w:val="009F2DCA"/>
    <w:rsid w:val="009F6864"/>
    <w:rsid w:val="00A11028"/>
    <w:rsid w:val="00A14068"/>
    <w:rsid w:val="00A3008E"/>
    <w:rsid w:val="00A342F9"/>
    <w:rsid w:val="00A35E50"/>
    <w:rsid w:val="00A45CEB"/>
    <w:rsid w:val="00A5150F"/>
    <w:rsid w:val="00A52681"/>
    <w:rsid w:val="00A95B9B"/>
    <w:rsid w:val="00A96001"/>
    <w:rsid w:val="00AA21FA"/>
    <w:rsid w:val="00AA2B0E"/>
    <w:rsid w:val="00AA4C8F"/>
    <w:rsid w:val="00AA745E"/>
    <w:rsid w:val="00AB027B"/>
    <w:rsid w:val="00AB16A0"/>
    <w:rsid w:val="00AB1DED"/>
    <w:rsid w:val="00AB2DD6"/>
    <w:rsid w:val="00AB3BB7"/>
    <w:rsid w:val="00AB7450"/>
    <w:rsid w:val="00AC752D"/>
    <w:rsid w:val="00AC7F33"/>
    <w:rsid w:val="00AD76EE"/>
    <w:rsid w:val="00AE7DC1"/>
    <w:rsid w:val="00AE7F1B"/>
    <w:rsid w:val="00AF1B9C"/>
    <w:rsid w:val="00AF7640"/>
    <w:rsid w:val="00B128BA"/>
    <w:rsid w:val="00B23807"/>
    <w:rsid w:val="00B32E4A"/>
    <w:rsid w:val="00B42B1B"/>
    <w:rsid w:val="00B44586"/>
    <w:rsid w:val="00B6035A"/>
    <w:rsid w:val="00B64253"/>
    <w:rsid w:val="00B707C9"/>
    <w:rsid w:val="00B74595"/>
    <w:rsid w:val="00B809BE"/>
    <w:rsid w:val="00B94D4A"/>
    <w:rsid w:val="00B977C4"/>
    <w:rsid w:val="00BB0EAB"/>
    <w:rsid w:val="00BD07B2"/>
    <w:rsid w:val="00BD1EAC"/>
    <w:rsid w:val="00C10308"/>
    <w:rsid w:val="00C410F3"/>
    <w:rsid w:val="00C46A41"/>
    <w:rsid w:val="00C508F0"/>
    <w:rsid w:val="00C555EE"/>
    <w:rsid w:val="00C60256"/>
    <w:rsid w:val="00C647A9"/>
    <w:rsid w:val="00C74552"/>
    <w:rsid w:val="00C7702D"/>
    <w:rsid w:val="00C87852"/>
    <w:rsid w:val="00C907D2"/>
    <w:rsid w:val="00CB404D"/>
    <w:rsid w:val="00CB5CCB"/>
    <w:rsid w:val="00CC186B"/>
    <w:rsid w:val="00CC66AC"/>
    <w:rsid w:val="00CC6A1F"/>
    <w:rsid w:val="00D0129D"/>
    <w:rsid w:val="00D063E1"/>
    <w:rsid w:val="00D17C67"/>
    <w:rsid w:val="00D259E2"/>
    <w:rsid w:val="00D47BA2"/>
    <w:rsid w:val="00D854B2"/>
    <w:rsid w:val="00D8796F"/>
    <w:rsid w:val="00D910EA"/>
    <w:rsid w:val="00D9178A"/>
    <w:rsid w:val="00DC70FF"/>
    <w:rsid w:val="00DE24D5"/>
    <w:rsid w:val="00DE2E22"/>
    <w:rsid w:val="00DE3D8A"/>
    <w:rsid w:val="00DF3E08"/>
    <w:rsid w:val="00DF7524"/>
    <w:rsid w:val="00E11B27"/>
    <w:rsid w:val="00E15884"/>
    <w:rsid w:val="00E30DF3"/>
    <w:rsid w:val="00E3578F"/>
    <w:rsid w:val="00E46D01"/>
    <w:rsid w:val="00E56B3D"/>
    <w:rsid w:val="00E623AA"/>
    <w:rsid w:val="00E62D20"/>
    <w:rsid w:val="00E62F04"/>
    <w:rsid w:val="00E65C07"/>
    <w:rsid w:val="00E660BA"/>
    <w:rsid w:val="00E6629F"/>
    <w:rsid w:val="00E772E1"/>
    <w:rsid w:val="00E93472"/>
    <w:rsid w:val="00EB12D4"/>
    <w:rsid w:val="00EB15D2"/>
    <w:rsid w:val="00EB33FE"/>
    <w:rsid w:val="00EB5E5C"/>
    <w:rsid w:val="00EB7AC6"/>
    <w:rsid w:val="00ED3C15"/>
    <w:rsid w:val="00ED41AE"/>
    <w:rsid w:val="00ED5227"/>
    <w:rsid w:val="00ED5460"/>
    <w:rsid w:val="00F11F30"/>
    <w:rsid w:val="00F15F47"/>
    <w:rsid w:val="00F27051"/>
    <w:rsid w:val="00F3516E"/>
    <w:rsid w:val="00F41F47"/>
    <w:rsid w:val="00F50181"/>
    <w:rsid w:val="00F52A89"/>
    <w:rsid w:val="00F83E4E"/>
    <w:rsid w:val="00F85C17"/>
    <w:rsid w:val="00FC5DFA"/>
    <w:rsid w:val="00FD7881"/>
    <w:rsid w:val="00FD78C3"/>
    <w:rsid w:val="00FD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E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2380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23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807"/>
  </w:style>
  <w:style w:type="paragraph" w:styleId="Rodap">
    <w:name w:val="footer"/>
    <w:basedOn w:val="Normal"/>
    <w:link w:val="RodapChar"/>
    <w:uiPriority w:val="99"/>
    <w:unhideWhenUsed/>
    <w:rsid w:val="00B23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807"/>
  </w:style>
  <w:style w:type="paragraph" w:customStyle="1" w:styleId="NormalArial">
    <w:name w:val="Normal + Arial"/>
    <w:aliases w:val="Negrito"/>
    <w:basedOn w:val="Normal"/>
    <w:rsid w:val="00B23807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3807"/>
    <w:pPr>
      <w:spacing w:before="100" w:beforeAutospacing="1" w:after="100" w:afterAutospacing="1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CE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rat">
    <w:name w:val="Texto_Prat"/>
    <w:rsid w:val="00283035"/>
    <w:pPr>
      <w:widowControl w:val="0"/>
      <w:tabs>
        <w:tab w:val="left" w:pos="6"/>
        <w:tab w:val="left" w:pos="33"/>
        <w:tab w:val="left" w:pos="1554"/>
        <w:tab w:val="left" w:pos="2124"/>
        <w:tab w:val="left" w:pos="4351"/>
        <w:tab w:val="left" w:pos="4871"/>
        <w:tab w:val="left" w:pos="19467"/>
      </w:tabs>
      <w:autoSpaceDE w:val="0"/>
      <w:autoSpaceDN w:val="0"/>
      <w:adjustRightInd w:val="0"/>
      <w:spacing w:before="180" w:after="0" w:line="240" w:lineRule="auto"/>
      <w:ind w:left="679"/>
      <w:jc w:val="both"/>
    </w:pPr>
    <w:rPr>
      <w:rFonts w:ascii="Arial" w:eastAsia="Times New Roman" w:hAnsi="Arial" w:cs="Arial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830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83035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283035"/>
    <w:rPr>
      <w:vertAlign w:val="superscript"/>
    </w:rPr>
  </w:style>
  <w:style w:type="paragraph" w:customStyle="1" w:styleId="Estilo">
    <w:name w:val="Estilo"/>
    <w:rsid w:val="00DE2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D1E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jms.jus.br/cjsg/getArquivo.do?conversationId=&amp;cdAcordao=408919&amp;cdForo=0&amp;uuidCaptcha=sajcaptcha_59e09e94bfa44488a1bc862c3bdaa603&amp;vlCaptcha=euc&amp;novoVlCaptcha" TargetMode="External"/><Relationship Id="rId2" Type="http://schemas.openxmlformats.org/officeDocument/2006/relationships/hyperlink" Target="https://ww2.stj.jus.br/processo/revista/documento/mediado/?componente=ITA&amp;sequencial=1211728&amp;num_registro=201000829319&amp;data=20130305&amp;formato=HTML" TargetMode="External"/><Relationship Id="rId1" Type="http://schemas.openxmlformats.org/officeDocument/2006/relationships/hyperlink" Target="https://ww2.stj.jus.br/processo/revista/documento/mediado/?componente=ITA&amp;sequencial=996977&amp;num_registro=201000829319&amp;data=20101125&amp;formato=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FC089E9AAE4BD592AD55EA80C96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8B210-4B22-4EB2-A1C0-FB82A9DDB505}"/>
      </w:docPartPr>
      <w:docPartBody>
        <w:p w:rsidR="0031619B" w:rsidRDefault="00EC689E" w:rsidP="00EC689E">
          <w:pPr>
            <w:pStyle w:val="CCFC089E9AAE4BD592AD55EA80C96688"/>
          </w:pPr>
          <w:r w:rsidRPr="004028DF">
            <w:rPr>
              <w:rStyle w:val="TextodoEspaoReservado"/>
            </w:rPr>
            <w:t>[Comentários]</w:t>
          </w:r>
        </w:p>
      </w:docPartBody>
    </w:docPart>
    <w:docPart>
      <w:docPartPr>
        <w:name w:val="5F0A5733DBF54C469E6122CC93649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4DACC-59C7-4A42-B56A-1B3A0E1EAF47}"/>
      </w:docPartPr>
      <w:docPartBody>
        <w:p w:rsidR="0031619B" w:rsidRDefault="00EC689E" w:rsidP="00EC689E">
          <w:pPr>
            <w:pStyle w:val="5F0A5733DBF54C469E6122CC9364930F"/>
          </w:pPr>
          <w:r w:rsidRPr="00394A34">
            <w:rPr>
              <w:rStyle w:val="TextodoEspaoReservado"/>
            </w:rPr>
            <w:t>[Autor]</w:t>
          </w:r>
        </w:p>
      </w:docPartBody>
    </w:docPart>
    <w:docPart>
      <w:docPartPr>
        <w:name w:val="D985937B909041798214E0CE71061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2F4DB-D08B-427B-B15B-36073B2B1585}"/>
      </w:docPartPr>
      <w:docPartBody>
        <w:p w:rsidR="0031619B" w:rsidRDefault="00EC689E" w:rsidP="00EC689E">
          <w:pPr>
            <w:pStyle w:val="D985937B909041798214E0CE71061718"/>
          </w:pPr>
          <w:r w:rsidRPr="00394A34">
            <w:rPr>
              <w:rStyle w:val="TextodoEspaoReservado"/>
            </w:rPr>
            <w:t>[Categoria]</w:t>
          </w:r>
        </w:p>
      </w:docPartBody>
    </w:docPart>
    <w:docPart>
      <w:docPartPr>
        <w:name w:val="B73152C062E9415DA0F50C5C7FB83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13D29-3FE5-4C1F-B6EE-B74E37BD1863}"/>
      </w:docPartPr>
      <w:docPartBody>
        <w:p w:rsidR="0031619B" w:rsidRDefault="00EC689E" w:rsidP="00EC689E">
          <w:pPr>
            <w:pStyle w:val="B73152C062E9415DA0F50C5C7FB83D03"/>
          </w:pPr>
          <w:r w:rsidRPr="00394A34">
            <w:rPr>
              <w:rStyle w:val="TextodoEspaoReservado"/>
            </w:rPr>
            <w:t>[Assunto]</w:t>
          </w:r>
        </w:p>
      </w:docPartBody>
    </w:docPart>
    <w:docPart>
      <w:docPartPr>
        <w:name w:val="0808807DD7CA4FABB4D565B6EAFBB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BA52AD-8F98-4073-9CC8-CF488D4FF7CB}"/>
      </w:docPartPr>
      <w:docPartBody>
        <w:p w:rsidR="0031619B" w:rsidRDefault="00EC689E" w:rsidP="00EC689E">
          <w:pPr>
            <w:pStyle w:val="0808807DD7CA4FABB4D565B6EAFBBA36"/>
          </w:pPr>
          <w:r w:rsidRPr="004028DF">
            <w:rPr>
              <w:rStyle w:val="TextodoEspaoReservado"/>
            </w:rPr>
            <w:t>[Email da Empresa]</w:t>
          </w:r>
        </w:p>
      </w:docPartBody>
    </w:docPart>
    <w:docPart>
      <w:docPartPr>
        <w:name w:val="2043C62BB04A44279407B0FC2CC48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BBC06-97CA-44E1-AF3A-C0C140890DEA}"/>
      </w:docPartPr>
      <w:docPartBody>
        <w:p w:rsidR="0031619B" w:rsidRDefault="00EC689E" w:rsidP="00EC689E">
          <w:pPr>
            <w:pStyle w:val="2043C62BB04A44279407B0FC2CC483C4"/>
          </w:pPr>
          <w:r w:rsidRPr="002C5C47">
            <w:rPr>
              <w:rStyle w:val="TextodoEspaoReservado"/>
            </w:rPr>
            <w:t>[Categoria]</w:t>
          </w:r>
        </w:p>
      </w:docPartBody>
    </w:docPart>
    <w:docPart>
      <w:docPartPr>
        <w:name w:val="0F83A2FF7EFE4DBA9D225B351BA273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4037D-9138-4CA5-8503-B63B3DF9EF68}"/>
      </w:docPartPr>
      <w:docPartBody>
        <w:p w:rsidR="0031619B" w:rsidRDefault="00EC689E" w:rsidP="00EC689E">
          <w:pPr>
            <w:pStyle w:val="0F83A2FF7EFE4DBA9D225B351BA27362"/>
          </w:pPr>
          <w:r w:rsidRPr="004028DF">
            <w:rPr>
              <w:rStyle w:val="TextodoEspaoReservado"/>
            </w:rPr>
            <w:t>[Comentários]</w:t>
          </w:r>
        </w:p>
      </w:docPartBody>
    </w:docPart>
    <w:docPart>
      <w:docPartPr>
        <w:name w:val="E56EAB9B81784413A5C348A34B12C7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7BA92-443A-40C1-B228-EBD5707666C5}"/>
      </w:docPartPr>
      <w:docPartBody>
        <w:p w:rsidR="0033168E" w:rsidRDefault="00723E5D">
          <w:r w:rsidRPr="00694ADB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52DAF"/>
    <w:rsid w:val="000178DE"/>
    <w:rsid w:val="000D09CE"/>
    <w:rsid w:val="00112B06"/>
    <w:rsid w:val="00182697"/>
    <w:rsid w:val="002907C1"/>
    <w:rsid w:val="00291648"/>
    <w:rsid w:val="0031619B"/>
    <w:rsid w:val="0033168E"/>
    <w:rsid w:val="00352DAF"/>
    <w:rsid w:val="0035603A"/>
    <w:rsid w:val="003E334E"/>
    <w:rsid w:val="00411C11"/>
    <w:rsid w:val="004D0A68"/>
    <w:rsid w:val="00723E5D"/>
    <w:rsid w:val="007728A4"/>
    <w:rsid w:val="007C7C76"/>
    <w:rsid w:val="008159FB"/>
    <w:rsid w:val="008669D5"/>
    <w:rsid w:val="008817CA"/>
    <w:rsid w:val="0093555B"/>
    <w:rsid w:val="00967144"/>
    <w:rsid w:val="00C85B5A"/>
    <w:rsid w:val="00D16630"/>
    <w:rsid w:val="00D27521"/>
    <w:rsid w:val="00EB10AA"/>
    <w:rsid w:val="00EC689E"/>
    <w:rsid w:val="00F3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23E5D"/>
    <w:rPr>
      <w:color w:val="808080"/>
    </w:rPr>
  </w:style>
  <w:style w:type="paragraph" w:customStyle="1" w:styleId="52024B5576BC45B3A4BEC273D526CA80">
    <w:name w:val="52024B5576BC45B3A4BEC273D526CA80"/>
    <w:rsid w:val="00352DAF"/>
  </w:style>
  <w:style w:type="paragraph" w:customStyle="1" w:styleId="41694F176E01460FA5B9B62A6380D50B">
    <w:name w:val="41694F176E01460FA5B9B62A6380D50B"/>
    <w:rsid w:val="00352DAF"/>
  </w:style>
  <w:style w:type="paragraph" w:customStyle="1" w:styleId="8AF11E76513440BEB2E7247EEEDFF107">
    <w:name w:val="8AF11E76513440BEB2E7247EEEDFF107"/>
    <w:rsid w:val="00352DAF"/>
  </w:style>
  <w:style w:type="paragraph" w:customStyle="1" w:styleId="BBA1AF4AA3A34E3F9291B1D58E6F37C6">
    <w:name w:val="BBA1AF4AA3A34E3F9291B1D58E6F37C6"/>
    <w:rsid w:val="00352DAF"/>
  </w:style>
  <w:style w:type="paragraph" w:customStyle="1" w:styleId="644C0651D3E04567BF061F2A0AE22000">
    <w:name w:val="644C0651D3E04567BF061F2A0AE22000"/>
    <w:rsid w:val="00352DAF"/>
  </w:style>
  <w:style w:type="paragraph" w:customStyle="1" w:styleId="71B5D2F6B5FE4CED9E6A7DA36D994813">
    <w:name w:val="71B5D2F6B5FE4CED9E6A7DA36D994813"/>
    <w:rsid w:val="00352DAF"/>
  </w:style>
  <w:style w:type="paragraph" w:customStyle="1" w:styleId="ECA0811A55364C709E7ACFD4FC9CE684">
    <w:name w:val="ECA0811A55364C709E7ACFD4FC9CE684"/>
    <w:rsid w:val="00352DAF"/>
  </w:style>
  <w:style w:type="paragraph" w:customStyle="1" w:styleId="FEE1BC8B33484A2481D6803B6A4AC893">
    <w:name w:val="FEE1BC8B33484A2481D6803B6A4AC893"/>
    <w:rsid w:val="000D09CE"/>
  </w:style>
  <w:style w:type="paragraph" w:customStyle="1" w:styleId="CCFC089E9AAE4BD592AD55EA80C96688">
    <w:name w:val="CCFC089E9AAE4BD592AD55EA80C96688"/>
    <w:rsid w:val="00EC689E"/>
  </w:style>
  <w:style w:type="paragraph" w:customStyle="1" w:styleId="5F0A5733DBF54C469E6122CC9364930F">
    <w:name w:val="5F0A5733DBF54C469E6122CC9364930F"/>
    <w:rsid w:val="00EC689E"/>
  </w:style>
  <w:style w:type="paragraph" w:customStyle="1" w:styleId="D985937B909041798214E0CE71061718">
    <w:name w:val="D985937B909041798214E0CE71061718"/>
    <w:rsid w:val="00EC689E"/>
  </w:style>
  <w:style w:type="paragraph" w:customStyle="1" w:styleId="B73152C062E9415DA0F50C5C7FB83D03">
    <w:name w:val="B73152C062E9415DA0F50C5C7FB83D03"/>
    <w:rsid w:val="00EC689E"/>
  </w:style>
  <w:style w:type="paragraph" w:customStyle="1" w:styleId="0808807DD7CA4FABB4D565B6EAFBBA36">
    <w:name w:val="0808807DD7CA4FABB4D565B6EAFBBA36"/>
    <w:rsid w:val="00EC689E"/>
  </w:style>
  <w:style w:type="paragraph" w:customStyle="1" w:styleId="2043C62BB04A44279407B0FC2CC483C4">
    <w:name w:val="2043C62BB04A44279407B0FC2CC483C4"/>
    <w:rsid w:val="00EC689E"/>
  </w:style>
  <w:style w:type="paragraph" w:customStyle="1" w:styleId="E782788055814C60B121DDB2515FD9A1">
    <w:name w:val="E782788055814C60B121DDB2515FD9A1"/>
    <w:rsid w:val="00EC689E"/>
  </w:style>
  <w:style w:type="paragraph" w:customStyle="1" w:styleId="3B0DA4DD34534CCC8E47A68901A0CB2B">
    <w:name w:val="3B0DA4DD34534CCC8E47A68901A0CB2B"/>
    <w:rsid w:val="00EC689E"/>
  </w:style>
  <w:style w:type="paragraph" w:customStyle="1" w:styleId="0F83A2FF7EFE4DBA9D225B351BA27362">
    <w:name w:val="0F83A2FF7EFE4DBA9D225B351BA27362"/>
    <w:rsid w:val="00EC689E"/>
  </w:style>
  <w:style w:type="paragraph" w:customStyle="1" w:styleId="B6B32E507107344DA0E646D6D356D15A">
    <w:name w:val="B6B32E507107344DA0E646D6D356D15A"/>
    <w:rsid w:val="0031619B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R$ 1.114,03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B06BCB-0888-45FE-AAE1-8E66B0AF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2339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São Gabriel do Oeste (MS)</Company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Estado do Mato Grosso do Sul</dc:subject>
  <dc:creator>SINDIJUS/MS</dc:creator>
  <dc:description>Campo Grande/MS</dc:description>
  <cp:lastModifiedBy>presidente</cp:lastModifiedBy>
  <cp:revision>2</cp:revision>
  <cp:lastPrinted>2018-06-22T17:19:00Z</cp:lastPrinted>
  <dcterms:created xsi:type="dcterms:W3CDTF">2018-07-17T21:40:00Z</dcterms:created>
  <dcterms:modified xsi:type="dcterms:W3CDTF">2018-07-17T21:40:00Z</dcterms:modified>
  <cp:category>Processo n. 0013704-10.1999.8.12.0001/004</cp:category>
</cp:coreProperties>
</file>