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CB" w:rsidRDefault="007D0BAC">
      <w:r>
        <w:rPr>
          <w:noProof/>
        </w:rPr>
        <w:drawing>
          <wp:inline distT="0" distB="0" distL="0" distR="0">
            <wp:extent cx="5943600" cy="828675"/>
            <wp:effectExtent l="19050" t="0" r="0" b="0"/>
            <wp:docPr id="1" name="Imagem 1" descr="logo n ov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ovo CABEÇALHO"/>
                    <pic:cNvPicPr>
                      <a:picLocks noChangeAspect="1" noChangeArrowheads="1"/>
                    </pic:cNvPicPr>
                  </pic:nvPicPr>
                  <pic:blipFill>
                    <a:blip r:embed="rId7" cstate="print"/>
                    <a:srcRect/>
                    <a:stretch>
                      <a:fillRect/>
                    </a:stretch>
                  </pic:blipFill>
                  <pic:spPr bwMode="auto">
                    <a:xfrm>
                      <a:off x="0" y="0"/>
                      <a:ext cx="5943600" cy="828675"/>
                    </a:xfrm>
                    <a:prstGeom prst="rect">
                      <a:avLst/>
                    </a:prstGeom>
                    <a:noFill/>
                    <a:ln w="9525">
                      <a:noFill/>
                      <a:miter lim="800000"/>
                      <a:headEnd/>
                      <a:tailEnd/>
                    </a:ln>
                  </pic:spPr>
                </pic:pic>
              </a:graphicData>
            </a:graphic>
          </wp:inline>
        </w:drawing>
      </w:r>
    </w:p>
    <w:p w:rsidR="002E4718" w:rsidRDefault="002E4718"/>
    <w:p w:rsidR="00095FC4" w:rsidRPr="00A70CF9" w:rsidRDefault="009F32F4" w:rsidP="00095FC4">
      <w:pPr>
        <w:spacing w:after="120" w:line="360" w:lineRule="auto"/>
        <w:jc w:val="both"/>
        <w:rPr>
          <w:rFonts w:ascii="Arial" w:hAnsi="Arial" w:cs="Arial"/>
          <w:bCs/>
        </w:rPr>
      </w:pPr>
      <w:r>
        <w:rPr>
          <w:rFonts w:ascii="Arial" w:hAnsi="Arial" w:cs="Arial"/>
          <w:bCs/>
        </w:rPr>
        <w:t xml:space="preserve">AO </w:t>
      </w:r>
      <w:r w:rsidRPr="00A70CF9">
        <w:rPr>
          <w:rFonts w:ascii="Arial" w:hAnsi="Arial" w:cs="Arial"/>
          <w:bCs/>
        </w:rPr>
        <w:t xml:space="preserve">EXCELENTÍSSIMO SENHOR </w:t>
      </w:r>
      <w:r>
        <w:rPr>
          <w:rFonts w:ascii="Arial" w:hAnsi="Arial" w:cs="Arial"/>
          <w:bCs/>
        </w:rPr>
        <w:t>DESEMBARGADOR PRESIDENTE DO TRIBUNAL D</w:t>
      </w:r>
      <w:r w:rsidRPr="00217BE3">
        <w:rPr>
          <w:rFonts w:ascii="Arial" w:hAnsi="Arial" w:cs="Arial"/>
          <w:bCs/>
        </w:rPr>
        <w:t>E JUSTIÇA</w:t>
      </w:r>
      <w:r>
        <w:rPr>
          <w:rFonts w:ascii="Arial" w:hAnsi="Arial" w:cs="Arial"/>
          <w:bCs/>
        </w:rPr>
        <w:t xml:space="preserve"> DO ESTADO DE MATO GROSSO DO SUL</w:t>
      </w:r>
    </w:p>
    <w:p w:rsidR="00095FC4" w:rsidRDefault="00095FC4" w:rsidP="00D2047F">
      <w:pPr>
        <w:spacing w:line="360" w:lineRule="auto"/>
        <w:jc w:val="both"/>
        <w:rPr>
          <w:rFonts w:ascii="Arial" w:hAnsi="Arial" w:cs="Arial"/>
          <w:bCs/>
        </w:rPr>
      </w:pPr>
    </w:p>
    <w:p w:rsidR="00095FC4" w:rsidRDefault="00095FC4" w:rsidP="00D2047F">
      <w:pPr>
        <w:spacing w:line="360" w:lineRule="auto"/>
        <w:jc w:val="both"/>
        <w:rPr>
          <w:rFonts w:ascii="Arial" w:hAnsi="Arial" w:cs="Arial"/>
          <w:bCs/>
        </w:rPr>
      </w:pPr>
    </w:p>
    <w:p w:rsidR="00BF7CF7" w:rsidRDefault="00BF7CF7" w:rsidP="00D2047F">
      <w:pPr>
        <w:spacing w:line="360" w:lineRule="auto"/>
        <w:jc w:val="both"/>
        <w:rPr>
          <w:rFonts w:ascii="Arial" w:hAnsi="Arial" w:cs="Arial"/>
          <w:bCs/>
        </w:rPr>
      </w:pPr>
    </w:p>
    <w:p w:rsidR="00831349" w:rsidRDefault="00831349" w:rsidP="00D2047F">
      <w:pPr>
        <w:spacing w:line="360" w:lineRule="auto"/>
        <w:jc w:val="both"/>
        <w:rPr>
          <w:rFonts w:ascii="Arial" w:hAnsi="Arial" w:cs="Arial"/>
          <w:bCs/>
        </w:rPr>
      </w:pPr>
    </w:p>
    <w:p w:rsidR="00831349" w:rsidRDefault="00831349" w:rsidP="00D2047F">
      <w:pPr>
        <w:spacing w:line="360" w:lineRule="auto"/>
        <w:jc w:val="both"/>
        <w:rPr>
          <w:rFonts w:ascii="Arial" w:hAnsi="Arial" w:cs="Arial"/>
          <w:bCs/>
        </w:rPr>
      </w:pPr>
    </w:p>
    <w:p w:rsidR="00401893" w:rsidRDefault="00401893" w:rsidP="00002A02">
      <w:pPr>
        <w:spacing w:line="360" w:lineRule="auto"/>
        <w:ind w:firstLine="1701"/>
        <w:jc w:val="both"/>
        <w:rPr>
          <w:rFonts w:ascii="Arial" w:hAnsi="Arial" w:cs="Arial"/>
          <w:bCs/>
        </w:rPr>
      </w:pPr>
    </w:p>
    <w:p w:rsidR="00095FC4" w:rsidRDefault="00095FC4" w:rsidP="009F32F4">
      <w:pPr>
        <w:spacing w:line="360" w:lineRule="auto"/>
        <w:jc w:val="both"/>
        <w:rPr>
          <w:rFonts w:ascii="Arial" w:hAnsi="Arial" w:cs="Arial"/>
          <w:b/>
          <w:bCs/>
        </w:rPr>
      </w:pPr>
    </w:p>
    <w:p w:rsidR="009F32F4" w:rsidRPr="00002A02" w:rsidRDefault="009F32F4" w:rsidP="009F32F4">
      <w:pPr>
        <w:spacing w:line="360" w:lineRule="auto"/>
        <w:jc w:val="both"/>
        <w:rPr>
          <w:rFonts w:ascii="Arial" w:hAnsi="Arial" w:cs="Arial"/>
          <w:bCs/>
        </w:rPr>
      </w:pPr>
    </w:p>
    <w:p w:rsidR="00B10134" w:rsidRDefault="00002A02" w:rsidP="00831349">
      <w:pPr>
        <w:tabs>
          <w:tab w:val="left" w:pos="0"/>
        </w:tabs>
        <w:spacing w:line="360" w:lineRule="auto"/>
        <w:ind w:firstLine="1701"/>
        <w:jc w:val="both"/>
        <w:rPr>
          <w:rFonts w:ascii="Arial" w:hAnsi="Arial" w:cs="Arial"/>
          <w:bCs/>
        </w:rPr>
      </w:pPr>
      <w:r w:rsidRPr="00002A02">
        <w:rPr>
          <w:rFonts w:ascii="Arial" w:hAnsi="Arial" w:cs="Arial"/>
          <w:bCs/>
        </w:rPr>
        <w:t>O Sindicato dos Trabalhadores do Poder Judiciário de MS – SINDIJUS</w:t>
      </w:r>
      <w:r w:rsidR="00822F10">
        <w:rPr>
          <w:rFonts w:ascii="Arial" w:hAnsi="Arial" w:cs="Arial"/>
          <w:bCs/>
        </w:rPr>
        <w:t>-</w:t>
      </w:r>
      <w:r w:rsidR="00CC07ED">
        <w:rPr>
          <w:rFonts w:ascii="Arial" w:hAnsi="Arial" w:cs="Arial"/>
          <w:bCs/>
        </w:rPr>
        <w:t>MS, representado pel</w:t>
      </w:r>
      <w:r w:rsidRPr="00002A02">
        <w:rPr>
          <w:rFonts w:ascii="Arial" w:hAnsi="Arial" w:cs="Arial"/>
          <w:bCs/>
        </w:rPr>
        <w:t xml:space="preserve">o seu presidente </w:t>
      </w:r>
      <w:r w:rsidR="00CC07ED">
        <w:rPr>
          <w:rFonts w:ascii="Arial" w:hAnsi="Arial" w:cs="Arial"/>
          <w:bCs/>
        </w:rPr>
        <w:t>Leonardo Barros de Lacerda</w:t>
      </w:r>
      <w:r w:rsidRPr="00002A02">
        <w:rPr>
          <w:rFonts w:ascii="Arial" w:hAnsi="Arial" w:cs="Arial"/>
          <w:bCs/>
        </w:rPr>
        <w:t xml:space="preserve">, vem respeitosamente à presença de Vossa Excelência, </w:t>
      </w:r>
      <w:r w:rsidR="00B10134">
        <w:rPr>
          <w:rFonts w:ascii="Arial" w:hAnsi="Arial" w:cs="Arial"/>
          <w:bCs/>
        </w:rPr>
        <w:t xml:space="preserve">expor e </w:t>
      </w:r>
      <w:r w:rsidR="00831349" w:rsidRPr="00B10134">
        <w:rPr>
          <w:rFonts w:ascii="Arial" w:hAnsi="Arial" w:cs="Arial"/>
          <w:bCs/>
        </w:rPr>
        <w:t>requerer</w:t>
      </w:r>
      <w:r w:rsidR="00B10134">
        <w:rPr>
          <w:rFonts w:ascii="Arial" w:hAnsi="Arial" w:cs="Arial"/>
          <w:bCs/>
        </w:rPr>
        <w:t xml:space="preserve"> quanto ao </w:t>
      </w:r>
      <w:r w:rsidR="001B4DC2">
        <w:rPr>
          <w:rFonts w:ascii="Arial" w:hAnsi="Arial" w:cs="Arial"/>
          <w:bCs/>
        </w:rPr>
        <w:t xml:space="preserve">reajuste do valor </w:t>
      </w:r>
      <w:r w:rsidR="00B10134">
        <w:rPr>
          <w:rFonts w:ascii="Arial" w:hAnsi="Arial" w:cs="Arial"/>
          <w:bCs/>
        </w:rPr>
        <w:t xml:space="preserve">das diligências </w:t>
      </w:r>
      <w:r w:rsidR="001B4DC2">
        <w:rPr>
          <w:rFonts w:ascii="Arial" w:hAnsi="Arial" w:cs="Arial"/>
          <w:bCs/>
        </w:rPr>
        <w:t>d</w:t>
      </w:r>
      <w:r w:rsidR="00B10134">
        <w:rPr>
          <w:rFonts w:ascii="Arial" w:hAnsi="Arial" w:cs="Arial"/>
          <w:bCs/>
        </w:rPr>
        <w:t>os oficiais de justiça (executores de mandado).</w:t>
      </w:r>
    </w:p>
    <w:p w:rsidR="009B5EE8" w:rsidRDefault="009B5EE8" w:rsidP="009B5EE8">
      <w:pPr>
        <w:tabs>
          <w:tab w:val="left" w:pos="0"/>
        </w:tabs>
        <w:spacing w:line="360" w:lineRule="auto"/>
        <w:ind w:firstLine="1701"/>
        <w:jc w:val="both"/>
        <w:rPr>
          <w:rFonts w:ascii="Arial" w:hAnsi="Arial" w:cs="Arial"/>
          <w:bCs/>
        </w:rPr>
      </w:pPr>
    </w:p>
    <w:p w:rsidR="00BC6D38" w:rsidRDefault="00BC6D38" w:rsidP="00BC6D38">
      <w:pPr>
        <w:tabs>
          <w:tab w:val="left" w:pos="0"/>
        </w:tabs>
        <w:spacing w:line="360" w:lineRule="auto"/>
        <w:ind w:firstLine="1701"/>
        <w:jc w:val="both"/>
        <w:rPr>
          <w:rFonts w:ascii="Arial" w:hAnsi="Arial" w:cs="Arial"/>
          <w:bCs/>
        </w:rPr>
      </w:pPr>
      <w:r>
        <w:rPr>
          <w:rFonts w:ascii="Arial" w:hAnsi="Arial" w:cs="Arial"/>
          <w:bCs/>
        </w:rPr>
        <w:t xml:space="preserve">Nos últimos dias, tornou-se fato público e notório </w:t>
      </w:r>
      <w:r w:rsidRPr="00BC6D38">
        <w:rPr>
          <w:rFonts w:ascii="Arial" w:hAnsi="Arial" w:cs="Arial"/>
          <w:bCs/>
        </w:rPr>
        <w:t>a paralisação dos caminhoneiros, com o consequente desabastecimento de combustível no país</w:t>
      </w:r>
      <w:r>
        <w:rPr>
          <w:rFonts w:ascii="Arial" w:hAnsi="Arial" w:cs="Arial"/>
          <w:bCs/>
        </w:rPr>
        <w:t>, o que inclusive ensejou a suspensão de audiências e</w:t>
      </w:r>
      <w:r w:rsidRPr="00BC6D38">
        <w:rPr>
          <w:rFonts w:ascii="Arial" w:hAnsi="Arial" w:cs="Arial"/>
          <w:bCs/>
        </w:rPr>
        <w:t xml:space="preserve"> sessões, no âmbito da Justiça de Primeira e de Segunda Instância, agendadas para o dia 28 de maio de 2018</w:t>
      </w:r>
      <w:r>
        <w:rPr>
          <w:rFonts w:ascii="Arial" w:hAnsi="Arial" w:cs="Arial"/>
          <w:bCs/>
        </w:rPr>
        <w:t>, conforme Portaria n.º 558/2018</w:t>
      </w:r>
      <w:r w:rsidRPr="00BC6D38">
        <w:rPr>
          <w:rFonts w:ascii="Arial" w:hAnsi="Arial" w:cs="Arial"/>
          <w:bCs/>
        </w:rPr>
        <w:t>.</w:t>
      </w:r>
    </w:p>
    <w:p w:rsidR="00A5291D" w:rsidRDefault="00A5291D" w:rsidP="00BC6D38">
      <w:pPr>
        <w:tabs>
          <w:tab w:val="left" w:pos="0"/>
        </w:tabs>
        <w:spacing w:line="360" w:lineRule="auto"/>
        <w:ind w:firstLine="1701"/>
        <w:jc w:val="both"/>
        <w:rPr>
          <w:rFonts w:ascii="Arial" w:hAnsi="Arial" w:cs="Arial"/>
          <w:bCs/>
        </w:rPr>
      </w:pPr>
    </w:p>
    <w:p w:rsidR="00A5291D" w:rsidRDefault="00C96B8D" w:rsidP="00BC6D38">
      <w:pPr>
        <w:tabs>
          <w:tab w:val="left" w:pos="0"/>
        </w:tabs>
        <w:spacing w:line="360" w:lineRule="auto"/>
        <w:ind w:firstLine="1701"/>
        <w:jc w:val="both"/>
        <w:rPr>
          <w:rFonts w:ascii="Arial" w:hAnsi="Arial" w:cs="Arial"/>
          <w:bCs/>
        </w:rPr>
      </w:pPr>
      <w:r>
        <w:rPr>
          <w:rFonts w:ascii="Arial" w:hAnsi="Arial" w:cs="Arial"/>
          <w:bCs/>
        </w:rPr>
        <w:t>Quanto a</w:t>
      </w:r>
      <w:r w:rsidR="00A5291D">
        <w:rPr>
          <w:rFonts w:ascii="Arial" w:hAnsi="Arial" w:cs="Arial"/>
          <w:bCs/>
        </w:rPr>
        <w:t xml:space="preserve"> isso, </w:t>
      </w:r>
      <w:r>
        <w:rPr>
          <w:rFonts w:ascii="Arial" w:hAnsi="Arial" w:cs="Arial"/>
          <w:bCs/>
        </w:rPr>
        <w:t xml:space="preserve">sabe-se que </w:t>
      </w:r>
      <w:r w:rsidR="00A5291D">
        <w:rPr>
          <w:rFonts w:ascii="Arial" w:hAnsi="Arial" w:cs="Arial"/>
          <w:bCs/>
        </w:rPr>
        <w:t>o motivo que desencadeou o movimento,</w:t>
      </w:r>
      <w:r w:rsidR="00C95271">
        <w:rPr>
          <w:rFonts w:ascii="Arial" w:hAnsi="Arial" w:cs="Arial"/>
          <w:bCs/>
        </w:rPr>
        <w:t xml:space="preserve"> também </w:t>
      </w:r>
      <w:r w:rsidR="00A5291D">
        <w:rPr>
          <w:rFonts w:ascii="Arial" w:hAnsi="Arial" w:cs="Arial"/>
          <w:bCs/>
        </w:rPr>
        <w:t>objeto de comoção pública generalizada, foi o enorme aumento no valor dos combustíveis dos últimos meses, que chegou ao ápice nos últimos dias</w:t>
      </w:r>
      <w:r w:rsidR="00C95271">
        <w:rPr>
          <w:rFonts w:ascii="Arial" w:hAnsi="Arial" w:cs="Arial"/>
          <w:bCs/>
        </w:rPr>
        <w:t>, decorrente da mudança da política de preços iniciada pela Petrobrás (</w:t>
      </w:r>
      <w:r w:rsidR="00C95271" w:rsidRPr="00C95271">
        <w:rPr>
          <w:rFonts w:ascii="Arial" w:hAnsi="Arial" w:cs="Arial"/>
          <w:bCs/>
        </w:rPr>
        <w:t>Petróleo Brasileiro S.A.</w:t>
      </w:r>
      <w:r w:rsidR="00C95271">
        <w:rPr>
          <w:rFonts w:ascii="Arial" w:hAnsi="Arial" w:cs="Arial"/>
          <w:bCs/>
        </w:rPr>
        <w:t>) desde julho de 2017</w:t>
      </w:r>
      <w:r w:rsidR="00A5291D">
        <w:rPr>
          <w:rFonts w:ascii="Arial" w:hAnsi="Arial" w:cs="Arial"/>
          <w:bCs/>
        </w:rPr>
        <w:t>.</w:t>
      </w:r>
    </w:p>
    <w:p w:rsidR="00F5613D" w:rsidRDefault="00F5613D" w:rsidP="00BC6D38">
      <w:pPr>
        <w:tabs>
          <w:tab w:val="left" w:pos="0"/>
        </w:tabs>
        <w:spacing w:line="360" w:lineRule="auto"/>
        <w:ind w:firstLine="1701"/>
        <w:jc w:val="both"/>
        <w:rPr>
          <w:rFonts w:ascii="Arial" w:hAnsi="Arial" w:cs="Arial"/>
          <w:bCs/>
        </w:rPr>
      </w:pPr>
    </w:p>
    <w:p w:rsidR="00F5613D" w:rsidRDefault="00F5613D" w:rsidP="00BC6D38">
      <w:pPr>
        <w:tabs>
          <w:tab w:val="left" w:pos="0"/>
        </w:tabs>
        <w:spacing w:line="360" w:lineRule="auto"/>
        <w:ind w:firstLine="1701"/>
        <w:jc w:val="both"/>
        <w:rPr>
          <w:rFonts w:ascii="Arial" w:hAnsi="Arial" w:cs="Arial"/>
          <w:bCs/>
        </w:rPr>
      </w:pPr>
      <w:r>
        <w:rPr>
          <w:rFonts w:ascii="Arial" w:hAnsi="Arial" w:cs="Arial"/>
          <w:bCs/>
        </w:rPr>
        <w:t xml:space="preserve">Assim, após reajustes sucessivos e diários chegou a cerca de </w:t>
      </w:r>
      <w:r w:rsidR="00EE28FB">
        <w:rPr>
          <w:rFonts w:ascii="Arial" w:hAnsi="Arial" w:cs="Arial"/>
          <w:bCs/>
        </w:rPr>
        <w:t>40</w:t>
      </w:r>
      <w:r>
        <w:rPr>
          <w:rFonts w:ascii="Arial" w:hAnsi="Arial" w:cs="Arial"/>
          <w:bCs/>
        </w:rPr>
        <w:t xml:space="preserve">% de aumento nos combustíveis, algo muito acima da medição de índices inflacionários usuais como </w:t>
      </w:r>
      <w:r w:rsidRPr="00D91FBF">
        <w:rPr>
          <w:rFonts w:ascii="Arial" w:hAnsi="Arial" w:cs="Arial"/>
          <w:bCs/>
          <w:highlight w:val="yellow"/>
        </w:rPr>
        <w:t>INPC e IPC</w:t>
      </w:r>
      <w:r>
        <w:rPr>
          <w:rFonts w:ascii="Arial" w:hAnsi="Arial" w:cs="Arial"/>
          <w:bCs/>
        </w:rPr>
        <w:t>A</w:t>
      </w:r>
      <w:proofErr w:type="gramStart"/>
      <w:r w:rsidR="00D91FBF">
        <w:rPr>
          <w:rFonts w:ascii="Arial" w:hAnsi="Arial" w:cs="Arial"/>
          <w:bCs/>
        </w:rPr>
        <w:t xml:space="preserve">  </w:t>
      </w:r>
      <w:proofErr w:type="gramEnd"/>
      <w:r w:rsidR="00217B94">
        <w:rPr>
          <w:rFonts w:ascii="Arial" w:hAnsi="Arial" w:cs="Arial"/>
          <w:bCs/>
        </w:rPr>
        <w:t>que são compostos por preços de divers</w:t>
      </w:r>
      <w:r w:rsidR="009F14DA">
        <w:rPr>
          <w:rFonts w:ascii="Arial" w:hAnsi="Arial" w:cs="Arial"/>
          <w:bCs/>
        </w:rPr>
        <w:t>os</w:t>
      </w:r>
      <w:r w:rsidR="00217B94">
        <w:rPr>
          <w:rFonts w:ascii="Arial" w:hAnsi="Arial" w:cs="Arial"/>
          <w:bCs/>
        </w:rPr>
        <w:t xml:space="preserve"> outr</w:t>
      </w:r>
      <w:r w:rsidR="00C96B8D">
        <w:rPr>
          <w:rFonts w:ascii="Arial" w:hAnsi="Arial" w:cs="Arial"/>
          <w:bCs/>
        </w:rPr>
        <w:t>os produtos e áreas</w:t>
      </w:r>
      <w:r w:rsidR="00217B94">
        <w:rPr>
          <w:rFonts w:ascii="Arial" w:hAnsi="Arial" w:cs="Arial"/>
          <w:bCs/>
        </w:rPr>
        <w:t>.</w:t>
      </w:r>
    </w:p>
    <w:p w:rsidR="00EE28FB" w:rsidRDefault="00EE28FB" w:rsidP="00BC6D38">
      <w:pPr>
        <w:tabs>
          <w:tab w:val="left" w:pos="0"/>
        </w:tabs>
        <w:spacing w:line="360" w:lineRule="auto"/>
        <w:ind w:firstLine="1701"/>
        <w:jc w:val="both"/>
        <w:rPr>
          <w:rFonts w:ascii="Arial" w:hAnsi="Arial" w:cs="Arial"/>
          <w:bCs/>
        </w:rPr>
      </w:pPr>
      <w:r>
        <w:rPr>
          <w:rFonts w:ascii="Arial" w:hAnsi="Arial" w:cs="Arial"/>
          <w:bCs/>
        </w:rPr>
        <w:lastRenderedPageBreak/>
        <w:t xml:space="preserve">Esses fatos foram </w:t>
      </w:r>
      <w:r w:rsidR="000F40D6">
        <w:rPr>
          <w:rFonts w:ascii="Arial" w:hAnsi="Arial" w:cs="Arial"/>
          <w:bCs/>
        </w:rPr>
        <w:t xml:space="preserve">noticiados </w:t>
      </w:r>
      <w:r>
        <w:rPr>
          <w:rFonts w:ascii="Arial" w:hAnsi="Arial" w:cs="Arial"/>
          <w:bCs/>
        </w:rPr>
        <w:t>na grande mídia conforme notícias em anexo da Folha de São Paulo (</w:t>
      </w:r>
      <w:hyperlink r:id="rId8" w:history="1">
        <w:r w:rsidR="003F4C45" w:rsidRPr="003970FB">
          <w:rPr>
            <w:rStyle w:val="Hyperlink"/>
            <w:rFonts w:ascii="Arial" w:hAnsi="Arial" w:cs="Arial"/>
            <w:bCs/>
          </w:rPr>
          <w:t>https://www1.folha.uol.com.br/mercado/2018/05/politica-de-precos-da-gasolina-e-perversa-dizem-donos-de-postos.shtml</w:t>
        </w:r>
      </w:hyperlink>
      <w:r>
        <w:rPr>
          <w:rFonts w:ascii="Arial" w:hAnsi="Arial" w:cs="Arial"/>
          <w:bCs/>
        </w:rPr>
        <w:t>) e Valor Econômico (</w:t>
      </w:r>
      <w:hyperlink r:id="rId9" w:history="1">
        <w:r w:rsidR="003F4C45" w:rsidRPr="003970FB">
          <w:rPr>
            <w:rStyle w:val="Hyperlink"/>
            <w:rFonts w:ascii="Arial" w:hAnsi="Arial" w:cs="Arial"/>
            <w:bCs/>
          </w:rPr>
          <w:t>http://www.valor.com.br/empresas/5553495/petrobras-anuncia-reducao-de-283-no-preco-da-gasolina</w:t>
        </w:r>
      </w:hyperlink>
      <w:r>
        <w:rPr>
          <w:rFonts w:ascii="Arial" w:hAnsi="Arial" w:cs="Arial"/>
          <w:bCs/>
        </w:rPr>
        <w:t>)</w:t>
      </w:r>
      <w:r w:rsidR="000F40D6">
        <w:rPr>
          <w:rFonts w:ascii="Arial" w:hAnsi="Arial" w:cs="Arial"/>
          <w:bCs/>
        </w:rPr>
        <w:t>, por exemplo.</w:t>
      </w:r>
    </w:p>
    <w:p w:rsidR="00217B94" w:rsidRDefault="00217B94" w:rsidP="00BC6D38">
      <w:pPr>
        <w:tabs>
          <w:tab w:val="left" w:pos="0"/>
        </w:tabs>
        <w:spacing w:line="360" w:lineRule="auto"/>
        <w:ind w:firstLine="1701"/>
        <w:jc w:val="both"/>
        <w:rPr>
          <w:rFonts w:ascii="Arial" w:hAnsi="Arial" w:cs="Arial"/>
          <w:bCs/>
        </w:rPr>
      </w:pPr>
    </w:p>
    <w:p w:rsidR="00217B94" w:rsidRDefault="00217B94" w:rsidP="00BC6D38">
      <w:pPr>
        <w:tabs>
          <w:tab w:val="left" w:pos="0"/>
        </w:tabs>
        <w:spacing w:line="360" w:lineRule="auto"/>
        <w:ind w:firstLine="1701"/>
        <w:jc w:val="both"/>
        <w:rPr>
          <w:rFonts w:ascii="Arial" w:hAnsi="Arial" w:cs="Arial"/>
          <w:bCs/>
        </w:rPr>
      </w:pPr>
      <w:r>
        <w:rPr>
          <w:rFonts w:ascii="Arial" w:hAnsi="Arial" w:cs="Arial"/>
          <w:bCs/>
        </w:rPr>
        <w:t xml:space="preserve">Logo, tais reajustes totalmente acima do razoável também acabaram afetando os custos para </w:t>
      </w:r>
      <w:r w:rsidR="00C96B8D">
        <w:rPr>
          <w:rFonts w:ascii="Arial" w:hAnsi="Arial" w:cs="Arial"/>
          <w:bCs/>
        </w:rPr>
        <w:t xml:space="preserve">o </w:t>
      </w:r>
      <w:r>
        <w:rPr>
          <w:rFonts w:ascii="Arial" w:hAnsi="Arial" w:cs="Arial"/>
          <w:bCs/>
        </w:rPr>
        <w:t>trabalho dos Oficiais de Justiça (Analistas Judiciários – serviço externo – executores de mandados), visto que além do custeio com aquisição, impostos e manutenção de veículos próprios, o gasto com combustível figura como maior despesa desses servidores.</w:t>
      </w:r>
    </w:p>
    <w:p w:rsidR="00217B94" w:rsidRDefault="00217B94" w:rsidP="00BC6D38">
      <w:pPr>
        <w:tabs>
          <w:tab w:val="left" w:pos="0"/>
        </w:tabs>
        <w:spacing w:line="360" w:lineRule="auto"/>
        <w:ind w:firstLine="1701"/>
        <w:jc w:val="both"/>
        <w:rPr>
          <w:rFonts w:ascii="Arial" w:hAnsi="Arial" w:cs="Arial"/>
          <w:bCs/>
        </w:rPr>
      </w:pPr>
    </w:p>
    <w:p w:rsidR="00217B94" w:rsidRDefault="00A21FDB" w:rsidP="00BC6D38">
      <w:pPr>
        <w:tabs>
          <w:tab w:val="left" w:pos="0"/>
        </w:tabs>
        <w:spacing w:line="360" w:lineRule="auto"/>
        <w:ind w:firstLine="1701"/>
        <w:jc w:val="both"/>
        <w:rPr>
          <w:rFonts w:ascii="Arial" w:hAnsi="Arial" w:cs="Arial"/>
          <w:bCs/>
        </w:rPr>
      </w:pPr>
      <w:r>
        <w:rPr>
          <w:rFonts w:ascii="Arial" w:hAnsi="Arial" w:cs="Arial"/>
          <w:bCs/>
        </w:rPr>
        <w:t xml:space="preserve">Portanto, tornou-se imperiosa a necessidade </w:t>
      </w:r>
      <w:r w:rsidR="00C96B8D">
        <w:rPr>
          <w:rFonts w:ascii="Arial" w:hAnsi="Arial" w:cs="Arial"/>
          <w:bCs/>
        </w:rPr>
        <w:t xml:space="preserve">de </w:t>
      </w:r>
      <w:r>
        <w:rPr>
          <w:rFonts w:ascii="Arial" w:hAnsi="Arial" w:cs="Arial"/>
          <w:bCs/>
        </w:rPr>
        <w:t>se reajustar os valores das diligências para adequação da drástica mudança de preço dos combustíveis muito acima das medições de índices inflacionários.</w:t>
      </w:r>
    </w:p>
    <w:p w:rsidR="009B0A89" w:rsidRDefault="009B0A89" w:rsidP="00BC6D38">
      <w:pPr>
        <w:tabs>
          <w:tab w:val="left" w:pos="0"/>
        </w:tabs>
        <w:spacing w:line="360" w:lineRule="auto"/>
        <w:ind w:firstLine="1701"/>
        <w:jc w:val="both"/>
        <w:rPr>
          <w:rFonts w:ascii="Arial" w:hAnsi="Arial" w:cs="Arial"/>
          <w:bCs/>
        </w:rPr>
      </w:pPr>
    </w:p>
    <w:p w:rsidR="009B0A89" w:rsidRDefault="009B0A89" w:rsidP="009B0A89">
      <w:pPr>
        <w:tabs>
          <w:tab w:val="left" w:pos="0"/>
        </w:tabs>
        <w:spacing w:line="360" w:lineRule="auto"/>
        <w:ind w:firstLine="1701"/>
        <w:jc w:val="both"/>
        <w:rPr>
          <w:rFonts w:ascii="Arial" w:hAnsi="Arial" w:cs="Arial"/>
          <w:bCs/>
        </w:rPr>
      </w:pPr>
      <w:r>
        <w:rPr>
          <w:rFonts w:ascii="Arial" w:hAnsi="Arial" w:cs="Arial"/>
          <w:bCs/>
        </w:rPr>
        <w:t xml:space="preserve">Desta forma, requeremos o reajuste em pelo menos </w:t>
      </w:r>
      <w:r w:rsidRPr="009B0A89">
        <w:rPr>
          <w:rFonts w:ascii="Arial" w:hAnsi="Arial" w:cs="Arial"/>
          <w:b/>
          <w:bCs/>
        </w:rPr>
        <w:t xml:space="preserve">25% (vinte e cinco </w:t>
      </w:r>
      <w:proofErr w:type="spellStart"/>
      <w:r w:rsidRPr="009B0A89">
        <w:rPr>
          <w:rFonts w:ascii="Arial" w:hAnsi="Arial" w:cs="Arial"/>
          <w:b/>
          <w:bCs/>
        </w:rPr>
        <w:t>porcento</w:t>
      </w:r>
      <w:proofErr w:type="spellEnd"/>
      <w:r w:rsidRPr="009B0A89">
        <w:rPr>
          <w:rFonts w:ascii="Arial" w:hAnsi="Arial" w:cs="Arial"/>
          <w:b/>
          <w:bCs/>
        </w:rPr>
        <w:t>) dos valores das indenizações de transporte</w:t>
      </w:r>
      <w:r w:rsidRPr="009B0A89">
        <w:rPr>
          <w:rFonts w:ascii="Arial" w:hAnsi="Arial" w:cs="Arial"/>
          <w:bCs/>
        </w:rPr>
        <w:t xml:space="preserve"> </w:t>
      </w:r>
      <w:r>
        <w:rPr>
          <w:rFonts w:ascii="Arial" w:hAnsi="Arial" w:cs="Arial"/>
          <w:bCs/>
        </w:rPr>
        <w:t>em relação a todos os tipos de ato judicial, bem como do a</w:t>
      </w:r>
      <w:r w:rsidRPr="009B0A89">
        <w:rPr>
          <w:rFonts w:ascii="Arial" w:hAnsi="Arial" w:cs="Arial"/>
          <w:bCs/>
        </w:rPr>
        <w:t xml:space="preserve">créscimo por km percorrido excedente à área </w:t>
      </w:r>
      <w:proofErr w:type="gramStart"/>
      <w:r w:rsidRPr="009B0A89">
        <w:rPr>
          <w:rFonts w:ascii="Arial" w:hAnsi="Arial" w:cs="Arial"/>
          <w:bCs/>
        </w:rPr>
        <w:t>urbana/suburbana</w:t>
      </w:r>
      <w:proofErr w:type="gramEnd"/>
      <w:r>
        <w:rPr>
          <w:rFonts w:ascii="Arial" w:hAnsi="Arial" w:cs="Arial"/>
          <w:bCs/>
        </w:rPr>
        <w:t>.</w:t>
      </w:r>
    </w:p>
    <w:p w:rsidR="00D44E99" w:rsidRDefault="00D44E99" w:rsidP="009B0A89">
      <w:pPr>
        <w:tabs>
          <w:tab w:val="left" w:pos="0"/>
        </w:tabs>
        <w:spacing w:line="360" w:lineRule="auto"/>
        <w:ind w:firstLine="1701"/>
        <w:jc w:val="both"/>
        <w:rPr>
          <w:rFonts w:ascii="Arial" w:hAnsi="Arial" w:cs="Arial"/>
          <w:bCs/>
        </w:rPr>
      </w:pPr>
    </w:p>
    <w:p w:rsidR="00D44E99" w:rsidRDefault="00C96B8D" w:rsidP="00D44E99">
      <w:pPr>
        <w:tabs>
          <w:tab w:val="left" w:pos="0"/>
        </w:tabs>
        <w:spacing w:line="360" w:lineRule="auto"/>
        <w:ind w:firstLine="1701"/>
        <w:jc w:val="both"/>
        <w:rPr>
          <w:rFonts w:ascii="Arial" w:hAnsi="Arial" w:cs="Arial"/>
          <w:bCs/>
        </w:rPr>
      </w:pPr>
      <w:r>
        <w:rPr>
          <w:rFonts w:ascii="Arial" w:hAnsi="Arial" w:cs="Arial"/>
          <w:bCs/>
        </w:rPr>
        <w:t>Isso porque, e</w:t>
      </w:r>
      <w:r w:rsidR="00405AE7">
        <w:rPr>
          <w:rFonts w:ascii="Arial" w:hAnsi="Arial" w:cs="Arial"/>
          <w:bCs/>
        </w:rPr>
        <w:t xml:space="preserve">mbora a </w:t>
      </w:r>
      <w:r w:rsidR="006B7A41">
        <w:rPr>
          <w:rFonts w:ascii="Arial" w:hAnsi="Arial" w:cs="Arial"/>
          <w:bCs/>
        </w:rPr>
        <w:t xml:space="preserve">portaria n.º 1.271 </w:t>
      </w:r>
      <w:r w:rsidR="009B5EE8">
        <w:rPr>
          <w:rFonts w:ascii="Arial" w:hAnsi="Arial" w:cs="Arial"/>
          <w:bCs/>
        </w:rPr>
        <w:t>de 2</w:t>
      </w:r>
      <w:r w:rsidR="003D51B7">
        <w:rPr>
          <w:rFonts w:ascii="Arial" w:hAnsi="Arial" w:cs="Arial"/>
          <w:bCs/>
        </w:rPr>
        <w:t>2</w:t>
      </w:r>
      <w:r w:rsidR="009B5EE8">
        <w:rPr>
          <w:rFonts w:ascii="Arial" w:hAnsi="Arial" w:cs="Arial"/>
          <w:bCs/>
        </w:rPr>
        <w:t xml:space="preserve"> de março de 201</w:t>
      </w:r>
      <w:r w:rsidR="003D51B7">
        <w:rPr>
          <w:rFonts w:ascii="Arial" w:hAnsi="Arial" w:cs="Arial"/>
          <w:bCs/>
        </w:rPr>
        <w:t>8</w:t>
      </w:r>
      <w:r w:rsidR="009B5EE8">
        <w:rPr>
          <w:rFonts w:ascii="Arial" w:hAnsi="Arial" w:cs="Arial"/>
          <w:bCs/>
        </w:rPr>
        <w:t xml:space="preserve"> </w:t>
      </w:r>
      <w:r w:rsidR="00405AE7">
        <w:rPr>
          <w:rFonts w:ascii="Arial" w:hAnsi="Arial" w:cs="Arial"/>
          <w:bCs/>
        </w:rPr>
        <w:t xml:space="preserve">tenha </w:t>
      </w:r>
      <w:r w:rsidR="009B5EE8">
        <w:rPr>
          <w:rFonts w:ascii="Arial" w:hAnsi="Arial" w:cs="Arial"/>
          <w:bCs/>
        </w:rPr>
        <w:t>a</w:t>
      </w:r>
      <w:r w:rsidR="009B5EE8" w:rsidRPr="00CA1EDD">
        <w:rPr>
          <w:rFonts w:ascii="Arial" w:hAnsi="Arial" w:cs="Arial"/>
          <w:bCs/>
        </w:rPr>
        <w:t>tualiz</w:t>
      </w:r>
      <w:r w:rsidR="00405AE7">
        <w:rPr>
          <w:rFonts w:ascii="Arial" w:hAnsi="Arial" w:cs="Arial"/>
          <w:bCs/>
        </w:rPr>
        <w:t>ad</w:t>
      </w:r>
      <w:r w:rsidR="009B5EE8">
        <w:rPr>
          <w:rFonts w:ascii="Arial" w:hAnsi="Arial" w:cs="Arial"/>
          <w:bCs/>
        </w:rPr>
        <w:t>o</w:t>
      </w:r>
      <w:r w:rsidR="009B5EE8" w:rsidRPr="00CA1EDD">
        <w:rPr>
          <w:rFonts w:ascii="Arial" w:hAnsi="Arial" w:cs="Arial"/>
          <w:bCs/>
        </w:rPr>
        <w:t xml:space="preserve"> os valores das indenizações de transporte devidas ao analista judiciário – área fim – no exercício de atividade</w:t>
      </w:r>
      <w:r w:rsidR="009B5EE8">
        <w:rPr>
          <w:rFonts w:ascii="Arial" w:hAnsi="Arial" w:cs="Arial"/>
          <w:bCs/>
        </w:rPr>
        <w:t xml:space="preserve"> </w:t>
      </w:r>
      <w:r w:rsidR="009B5EE8" w:rsidRPr="00CA1EDD">
        <w:rPr>
          <w:rFonts w:ascii="Arial" w:hAnsi="Arial" w:cs="Arial"/>
          <w:bCs/>
        </w:rPr>
        <w:t>ex</w:t>
      </w:r>
      <w:r w:rsidR="009B5EE8">
        <w:rPr>
          <w:rFonts w:ascii="Arial" w:hAnsi="Arial" w:cs="Arial"/>
          <w:bCs/>
        </w:rPr>
        <w:t xml:space="preserve">terna de cumprimento de mandado, </w:t>
      </w:r>
      <w:r w:rsidR="009B5EE8" w:rsidRPr="00D44E99">
        <w:rPr>
          <w:rFonts w:ascii="Arial" w:hAnsi="Arial" w:cs="Arial"/>
          <w:bCs/>
        </w:rPr>
        <w:t xml:space="preserve">em </w:t>
      </w:r>
      <w:r w:rsidR="006B7A41" w:rsidRPr="00405AE7">
        <w:rPr>
          <w:rFonts w:ascii="Arial" w:hAnsi="Arial" w:cs="Arial"/>
          <w:b/>
          <w:bCs/>
        </w:rPr>
        <w:t>1</w:t>
      </w:r>
      <w:r w:rsidR="009B5EE8" w:rsidRPr="00405AE7">
        <w:rPr>
          <w:rFonts w:ascii="Arial" w:hAnsi="Arial" w:cs="Arial"/>
          <w:b/>
          <w:bCs/>
        </w:rPr>
        <w:t>,</w:t>
      </w:r>
      <w:r w:rsidR="006B7A41" w:rsidRPr="00405AE7">
        <w:rPr>
          <w:rFonts w:ascii="Arial" w:hAnsi="Arial" w:cs="Arial"/>
          <w:b/>
          <w:bCs/>
        </w:rPr>
        <w:t>83</w:t>
      </w:r>
      <w:r w:rsidR="009B5EE8" w:rsidRPr="00405AE7">
        <w:rPr>
          <w:rFonts w:ascii="Arial" w:hAnsi="Arial" w:cs="Arial"/>
          <w:b/>
          <w:bCs/>
        </w:rPr>
        <w:t>%</w:t>
      </w:r>
      <w:r w:rsidR="009B5EE8" w:rsidRPr="00405AE7">
        <w:rPr>
          <w:rFonts w:ascii="Arial" w:hAnsi="Arial" w:cs="Arial"/>
          <w:bCs/>
        </w:rPr>
        <w:t xml:space="preserve">, </w:t>
      </w:r>
      <w:r w:rsidR="00024368" w:rsidRPr="00405AE7">
        <w:rPr>
          <w:rFonts w:ascii="Arial" w:hAnsi="Arial" w:cs="Arial"/>
          <w:bCs/>
        </w:rPr>
        <w:t>percentual decorrente da aplicação do INPC entre 01/11/201</w:t>
      </w:r>
      <w:r w:rsidR="006B7A41" w:rsidRPr="00405AE7">
        <w:rPr>
          <w:rFonts w:ascii="Arial" w:hAnsi="Arial" w:cs="Arial"/>
          <w:bCs/>
        </w:rPr>
        <w:t>6</w:t>
      </w:r>
      <w:r w:rsidR="00024368" w:rsidRPr="00405AE7">
        <w:rPr>
          <w:rFonts w:ascii="Arial" w:hAnsi="Arial" w:cs="Arial"/>
          <w:bCs/>
        </w:rPr>
        <w:t xml:space="preserve"> até 31/10/201</w:t>
      </w:r>
      <w:r w:rsidR="006B7A41" w:rsidRPr="00405AE7">
        <w:rPr>
          <w:rFonts w:ascii="Arial" w:hAnsi="Arial" w:cs="Arial"/>
          <w:bCs/>
        </w:rPr>
        <w:t>7</w:t>
      </w:r>
      <w:r w:rsidR="00024368" w:rsidRPr="006B7A41">
        <w:rPr>
          <w:rFonts w:ascii="Arial" w:hAnsi="Arial" w:cs="Arial"/>
          <w:bCs/>
        </w:rPr>
        <w:t xml:space="preserve">, </w:t>
      </w:r>
      <w:r w:rsidR="009B5EE8" w:rsidRPr="006B7A41">
        <w:rPr>
          <w:rFonts w:ascii="Arial" w:hAnsi="Arial" w:cs="Arial"/>
          <w:bCs/>
        </w:rPr>
        <w:t xml:space="preserve">com efeitos a contar de 1º de </w:t>
      </w:r>
      <w:r w:rsidR="006B7A41" w:rsidRPr="006B7A41">
        <w:rPr>
          <w:rFonts w:ascii="Arial" w:hAnsi="Arial" w:cs="Arial"/>
          <w:bCs/>
        </w:rPr>
        <w:t>dezembro</w:t>
      </w:r>
      <w:r w:rsidR="009B5EE8" w:rsidRPr="006B7A41">
        <w:rPr>
          <w:rFonts w:ascii="Arial" w:hAnsi="Arial" w:cs="Arial"/>
          <w:bCs/>
        </w:rPr>
        <w:t xml:space="preserve"> de 2017 (art. 1º)</w:t>
      </w:r>
      <w:r w:rsidR="00405AE7">
        <w:rPr>
          <w:rFonts w:ascii="Arial" w:hAnsi="Arial" w:cs="Arial"/>
          <w:bCs/>
        </w:rPr>
        <w:t>, é cristalino que tal índice não refletiu a realidade dos preços dos combustíveis</w:t>
      </w:r>
      <w:r w:rsidR="00D44E99">
        <w:rPr>
          <w:rFonts w:ascii="Arial" w:hAnsi="Arial" w:cs="Arial"/>
          <w:bCs/>
        </w:rPr>
        <w:t>.</w:t>
      </w:r>
    </w:p>
    <w:p w:rsidR="00D44E99" w:rsidRDefault="00D44E99" w:rsidP="00D44E99">
      <w:pPr>
        <w:tabs>
          <w:tab w:val="left" w:pos="0"/>
        </w:tabs>
        <w:spacing w:line="360" w:lineRule="auto"/>
        <w:ind w:firstLine="1701"/>
        <w:jc w:val="both"/>
        <w:rPr>
          <w:rFonts w:ascii="Arial" w:hAnsi="Arial" w:cs="Arial"/>
          <w:bCs/>
        </w:rPr>
      </w:pPr>
    </w:p>
    <w:p w:rsidR="007C4875" w:rsidRDefault="00D44E99" w:rsidP="00D44E99">
      <w:pPr>
        <w:tabs>
          <w:tab w:val="left" w:pos="0"/>
        </w:tabs>
        <w:spacing w:line="360" w:lineRule="auto"/>
        <w:ind w:firstLine="1701"/>
        <w:jc w:val="both"/>
        <w:rPr>
          <w:rFonts w:ascii="Arial" w:hAnsi="Arial" w:cs="Arial"/>
          <w:bCs/>
        </w:rPr>
      </w:pPr>
      <w:r>
        <w:rPr>
          <w:rFonts w:ascii="Arial" w:hAnsi="Arial" w:cs="Arial"/>
          <w:bCs/>
        </w:rPr>
        <w:t xml:space="preserve">Ademais, verifica-se que pelo período de três anos, entre novembro de 2012 e outubro de 2015, foi concedido o reajuste das diligências pela TR (taxa referencial), que resultou no ínfimo percentual de </w:t>
      </w:r>
      <w:r w:rsidRPr="00D44E99">
        <w:rPr>
          <w:rFonts w:ascii="Arial" w:hAnsi="Arial" w:cs="Arial"/>
          <w:b/>
          <w:bCs/>
        </w:rPr>
        <w:t>2,30%</w:t>
      </w:r>
      <w:r w:rsidR="007C4875">
        <w:rPr>
          <w:rFonts w:ascii="Arial" w:hAnsi="Arial" w:cs="Arial"/>
          <w:bCs/>
        </w:rPr>
        <w:t xml:space="preserve">, conforme </w:t>
      </w:r>
      <w:r w:rsidR="007C4875" w:rsidRPr="007C4875">
        <w:rPr>
          <w:rFonts w:ascii="Arial" w:hAnsi="Arial" w:cs="Arial"/>
          <w:bCs/>
        </w:rPr>
        <w:t xml:space="preserve">portaria </w:t>
      </w:r>
      <w:proofErr w:type="spellStart"/>
      <w:r w:rsidR="007C4875" w:rsidRPr="007C4875">
        <w:rPr>
          <w:rFonts w:ascii="Arial" w:hAnsi="Arial" w:cs="Arial"/>
        </w:rPr>
        <w:t>Portaria</w:t>
      </w:r>
      <w:proofErr w:type="spellEnd"/>
      <w:r w:rsidR="007C4875" w:rsidRPr="007C4875">
        <w:rPr>
          <w:rFonts w:ascii="Arial" w:hAnsi="Arial" w:cs="Arial"/>
        </w:rPr>
        <w:t xml:space="preserve"> nº 937/2016</w:t>
      </w:r>
      <w:r w:rsidRPr="007C4875">
        <w:rPr>
          <w:rFonts w:ascii="Arial" w:hAnsi="Arial" w:cs="Arial"/>
          <w:bCs/>
        </w:rPr>
        <w:t>.</w:t>
      </w:r>
    </w:p>
    <w:p w:rsidR="00D44E99" w:rsidRDefault="00D44E99" w:rsidP="00D44E99">
      <w:pPr>
        <w:tabs>
          <w:tab w:val="left" w:pos="0"/>
        </w:tabs>
        <w:spacing w:line="360" w:lineRule="auto"/>
        <w:ind w:firstLine="1701"/>
        <w:jc w:val="both"/>
        <w:rPr>
          <w:rFonts w:ascii="Arial" w:hAnsi="Arial" w:cs="Arial"/>
          <w:bCs/>
        </w:rPr>
      </w:pPr>
      <w:r>
        <w:rPr>
          <w:rFonts w:ascii="Arial" w:hAnsi="Arial" w:cs="Arial"/>
          <w:bCs/>
        </w:rPr>
        <w:lastRenderedPageBreak/>
        <w:t xml:space="preserve"> </w:t>
      </w:r>
      <w:r w:rsidR="007C4875">
        <w:rPr>
          <w:rFonts w:ascii="Arial" w:hAnsi="Arial" w:cs="Arial"/>
          <w:bCs/>
        </w:rPr>
        <w:t>Sendo que</w:t>
      </w:r>
      <w:r w:rsidR="00C96B8D">
        <w:rPr>
          <w:rFonts w:ascii="Arial" w:hAnsi="Arial" w:cs="Arial"/>
          <w:bCs/>
        </w:rPr>
        <w:t>,</w:t>
      </w:r>
      <w:r w:rsidR="007C4875">
        <w:rPr>
          <w:rFonts w:ascii="Arial" w:hAnsi="Arial" w:cs="Arial"/>
          <w:bCs/>
        </w:rPr>
        <w:t xml:space="preserve"> o INPC ou IPCA do mesmo período de 03 anos cheg</w:t>
      </w:r>
      <w:r w:rsidR="00C96B8D">
        <w:rPr>
          <w:rFonts w:ascii="Arial" w:hAnsi="Arial" w:cs="Arial"/>
          <w:bCs/>
        </w:rPr>
        <w:t>aram</w:t>
      </w:r>
      <w:r w:rsidR="007C4875">
        <w:rPr>
          <w:rFonts w:ascii="Arial" w:hAnsi="Arial" w:cs="Arial"/>
          <w:bCs/>
        </w:rPr>
        <w:t xml:space="preserve"> </w:t>
      </w:r>
      <w:r w:rsidR="00C96B8D">
        <w:rPr>
          <w:rFonts w:ascii="Arial" w:hAnsi="Arial" w:cs="Arial"/>
          <w:bCs/>
        </w:rPr>
        <w:t>ao patamar de aproximadamente</w:t>
      </w:r>
      <w:r w:rsidR="007C4875">
        <w:rPr>
          <w:rFonts w:ascii="Arial" w:hAnsi="Arial" w:cs="Arial"/>
          <w:bCs/>
        </w:rPr>
        <w:t xml:space="preserve"> </w:t>
      </w:r>
      <w:r w:rsidR="007C4875" w:rsidRPr="007C4875">
        <w:rPr>
          <w:rFonts w:ascii="Arial" w:hAnsi="Arial" w:cs="Arial"/>
          <w:b/>
          <w:bCs/>
        </w:rPr>
        <w:t>25%</w:t>
      </w:r>
      <w:r w:rsidR="007C4875">
        <w:rPr>
          <w:rFonts w:ascii="Arial" w:hAnsi="Arial" w:cs="Arial"/>
          <w:bCs/>
        </w:rPr>
        <w:t>, evidenciando a total disparidade daquele reajuste com a realidade das despesas a serem indenizadas.</w:t>
      </w:r>
    </w:p>
    <w:p w:rsidR="00883E91" w:rsidRDefault="00883E91" w:rsidP="00D44E99">
      <w:pPr>
        <w:tabs>
          <w:tab w:val="left" w:pos="0"/>
        </w:tabs>
        <w:spacing w:line="360" w:lineRule="auto"/>
        <w:ind w:firstLine="1701"/>
        <w:jc w:val="both"/>
        <w:rPr>
          <w:rFonts w:ascii="Arial" w:hAnsi="Arial" w:cs="Arial"/>
          <w:bCs/>
        </w:rPr>
      </w:pPr>
    </w:p>
    <w:p w:rsidR="00883E91" w:rsidRDefault="003F5180" w:rsidP="00883E91">
      <w:pPr>
        <w:tabs>
          <w:tab w:val="left" w:pos="0"/>
        </w:tabs>
        <w:spacing w:line="360" w:lineRule="auto"/>
        <w:ind w:firstLine="1701"/>
        <w:jc w:val="both"/>
        <w:rPr>
          <w:rFonts w:ascii="Arial" w:hAnsi="Arial" w:cs="Arial"/>
          <w:bCs/>
        </w:rPr>
      </w:pPr>
      <w:r>
        <w:rPr>
          <w:rFonts w:ascii="Arial" w:hAnsi="Arial" w:cs="Arial"/>
          <w:bCs/>
        </w:rPr>
        <w:t>Ou seja</w:t>
      </w:r>
      <w:r w:rsidR="00883E91">
        <w:rPr>
          <w:rFonts w:ascii="Arial" w:hAnsi="Arial" w:cs="Arial"/>
          <w:bCs/>
        </w:rPr>
        <w:t>, verifica-</w:t>
      </w:r>
      <w:r>
        <w:rPr>
          <w:rFonts w:ascii="Arial" w:hAnsi="Arial" w:cs="Arial"/>
          <w:bCs/>
        </w:rPr>
        <w:t>se de plano que o índice que foi</w:t>
      </w:r>
      <w:r w:rsidR="00883E91">
        <w:rPr>
          <w:rFonts w:ascii="Arial" w:hAnsi="Arial" w:cs="Arial"/>
          <w:bCs/>
        </w:rPr>
        <w:t xml:space="preserve"> aplica</w:t>
      </w:r>
      <w:r>
        <w:rPr>
          <w:rFonts w:ascii="Arial" w:hAnsi="Arial" w:cs="Arial"/>
          <w:bCs/>
        </w:rPr>
        <w:t>do</w:t>
      </w:r>
      <w:r w:rsidR="00883E91">
        <w:rPr>
          <w:rFonts w:ascii="Arial" w:hAnsi="Arial" w:cs="Arial"/>
          <w:bCs/>
        </w:rPr>
        <w:t xml:space="preserve"> não reflet</w:t>
      </w:r>
      <w:r>
        <w:rPr>
          <w:rFonts w:ascii="Arial" w:hAnsi="Arial" w:cs="Arial"/>
          <w:bCs/>
        </w:rPr>
        <w:t>iu</w:t>
      </w:r>
      <w:r w:rsidR="00883E91">
        <w:rPr>
          <w:rFonts w:ascii="Arial" w:hAnsi="Arial" w:cs="Arial"/>
          <w:bCs/>
        </w:rPr>
        <w:t xml:space="preserve"> a realidade da desvalorização da moeda, até porque não se forma a partir de pesquisas de índices de preços. </w:t>
      </w:r>
      <w:r>
        <w:rPr>
          <w:rFonts w:ascii="Arial" w:hAnsi="Arial" w:cs="Arial"/>
          <w:bCs/>
        </w:rPr>
        <w:t xml:space="preserve">Não há dúvidas desconexão da realidade ao se </w:t>
      </w:r>
      <w:r w:rsidR="00883E91">
        <w:rPr>
          <w:rFonts w:ascii="Arial" w:hAnsi="Arial" w:cs="Arial"/>
          <w:bCs/>
        </w:rPr>
        <w:t>apli</w:t>
      </w:r>
      <w:r>
        <w:rPr>
          <w:rFonts w:ascii="Arial" w:hAnsi="Arial" w:cs="Arial"/>
          <w:bCs/>
        </w:rPr>
        <w:t>car</w:t>
      </w:r>
      <w:r w:rsidR="00883E91">
        <w:rPr>
          <w:rFonts w:ascii="Arial" w:hAnsi="Arial" w:cs="Arial"/>
          <w:bCs/>
        </w:rPr>
        <w:t xml:space="preserve"> </w:t>
      </w:r>
      <w:r>
        <w:rPr>
          <w:rFonts w:ascii="Arial" w:hAnsi="Arial" w:cs="Arial"/>
          <w:bCs/>
        </w:rPr>
        <w:t>“</w:t>
      </w:r>
      <w:r w:rsidR="00883E91">
        <w:rPr>
          <w:rFonts w:ascii="Arial" w:hAnsi="Arial" w:cs="Arial"/>
          <w:bCs/>
        </w:rPr>
        <w:t>correção monetária</w:t>
      </w:r>
      <w:r>
        <w:rPr>
          <w:rFonts w:ascii="Arial" w:hAnsi="Arial" w:cs="Arial"/>
          <w:bCs/>
        </w:rPr>
        <w:t>”</w:t>
      </w:r>
      <w:r w:rsidR="00883E91">
        <w:rPr>
          <w:rFonts w:ascii="Arial" w:hAnsi="Arial" w:cs="Arial"/>
          <w:bCs/>
        </w:rPr>
        <w:t xml:space="preserve"> total de </w:t>
      </w:r>
      <w:r w:rsidR="00883E91" w:rsidRPr="00A440C5">
        <w:rPr>
          <w:rFonts w:ascii="Arial" w:hAnsi="Arial" w:cs="Arial"/>
          <w:b/>
          <w:bCs/>
        </w:rPr>
        <w:t>0,1%</w:t>
      </w:r>
      <w:r w:rsidR="00883E91">
        <w:rPr>
          <w:rFonts w:ascii="Arial" w:hAnsi="Arial" w:cs="Arial"/>
          <w:bCs/>
        </w:rPr>
        <w:t xml:space="preserve"> para o período de praticamente um ano (</w:t>
      </w:r>
      <w:r w:rsidR="00883E91" w:rsidRPr="00086FFB">
        <w:rPr>
          <w:rFonts w:ascii="Arial" w:hAnsi="Arial" w:cs="Arial"/>
          <w:bCs/>
        </w:rPr>
        <w:t>1º/11/2012 30/10/2013</w:t>
      </w:r>
      <w:r w:rsidR="00883E91">
        <w:rPr>
          <w:rFonts w:ascii="Arial" w:hAnsi="Arial" w:cs="Arial"/>
          <w:bCs/>
        </w:rPr>
        <w:t xml:space="preserve">), ou mesmo </w:t>
      </w:r>
      <w:r w:rsidR="00883E91" w:rsidRPr="00A440C5">
        <w:rPr>
          <w:rFonts w:ascii="Arial" w:hAnsi="Arial" w:cs="Arial"/>
          <w:b/>
          <w:bCs/>
        </w:rPr>
        <w:t>1,52%</w:t>
      </w:r>
      <w:r w:rsidR="00883E91">
        <w:rPr>
          <w:rFonts w:ascii="Arial" w:hAnsi="Arial" w:cs="Arial"/>
          <w:bCs/>
        </w:rPr>
        <w:t xml:space="preserve"> para o ano em que a inflação oficial ultrapassou os dois dígitos (</w:t>
      </w:r>
      <w:r w:rsidR="00883E91" w:rsidRPr="00086FFB">
        <w:rPr>
          <w:rFonts w:ascii="Arial" w:hAnsi="Arial" w:cs="Arial"/>
          <w:bCs/>
        </w:rPr>
        <w:t>1º/11/2014 30/10/2015</w:t>
      </w:r>
      <w:r w:rsidR="00883E91">
        <w:rPr>
          <w:rFonts w:ascii="Arial" w:hAnsi="Arial" w:cs="Arial"/>
          <w:bCs/>
        </w:rPr>
        <w:t>).</w:t>
      </w:r>
    </w:p>
    <w:p w:rsidR="00883E91" w:rsidRDefault="00883E91" w:rsidP="00883E91">
      <w:pPr>
        <w:tabs>
          <w:tab w:val="left" w:pos="0"/>
        </w:tabs>
        <w:spacing w:line="360" w:lineRule="auto"/>
        <w:ind w:firstLine="1701"/>
        <w:jc w:val="both"/>
        <w:rPr>
          <w:rFonts w:ascii="Arial" w:hAnsi="Arial" w:cs="Arial"/>
          <w:bCs/>
        </w:rPr>
      </w:pPr>
    </w:p>
    <w:p w:rsidR="00883E91" w:rsidRPr="00A440C5" w:rsidRDefault="00883E91" w:rsidP="00883E91">
      <w:pPr>
        <w:tabs>
          <w:tab w:val="left" w:pos="0"/>
        </w:tabs>
        <w:spacing w:line="360" w:lineRule="auto"/>
        <w:ind w:firstLine="1701"/>
        <w:jc w:val="both"/>
        <w:rPr>
          <w:rFonts w:ascii="Arial" w:hAnsi="Arial" w:cs="Arial"/>
          <w:bCs/>
        </w:rPr>
      </w:pPr>
      <w:r w:rsidRPr="00A440C5">
        <w:rPr>
          <w:rFonts w:ascii="Arial" w:hAnsi="Arial" w:cs="Arial"/>
          <w:bCs/>
        </w:rPr>
        <w:t>É importante ressaltar que a afirmação de que a Taxa Referencial (TR) não corresponde à reposição da desvalorização da moeda, advém de interpretação do Supremo Tribunal Federal, conforme exposto no julgamento da ADI nº 4357:</w:t>
      </w:r>
    </w:p>
    <w:p w:rsidR="00883E91" w:rsidRPr="00A440C5" w:rsidRDefault="00883E91" w:rsidP="00883E91">
      <w:pPr>
        <w:tabs>
          <w:tab w:val="left" w:pos="0"/>
        </w:tabs>
        <w:spacing w:line="360" w:lineRule="auto"/>
        <w:ind w:firstLine="1701"/>
        <w:jc w:val="both"/>
        <w:rPr>
          <w:rFonts w:ascii="Arial" w:hAnsi="Arial" w:cs="Arial"/>
          <w:bCs/>
        </w:rPr>
      </w:pPr>
    </w:p>
    <w:p w:rsidR="00883E91" w:rsidRPr="00A440C5" w:rsidRDefault="00883E91" w:rsidP="00883E91">
      <w:pPr>
        <w:tabs>
          <w:tab w:val="left" w:pos="426"/>
        </w:tabs>
        <w:ind w:left="851"/>
        <w:jc w:val="both"/>
        <w:rPr>
          <w:rFonts w:ascii="Arial" w:hAnsi="Arial" w:cs="Arial"/>
          <w:bCs/>
          <w:sz w:val="20"/>
          <w:szCs w:val="20"/>
        </w:rPr>
      </w:pPr>
      <w:r w:rsidRPr="00A440C5">
        <w:rPr>
          <w:rFonts w:ascii="Arial" w:hAnsi="Arial" w:cs="Arial"/>
          <w:bCs/>
          <w:sz w:val="20"/>
          <w:szCs w:val="20"/>
        </w:rPr>
        <w:t xml:space="preserve">Ementa: DIREITO CONSTITUCIONAL. REGIME DE EXECUÇÃO DA FAZENDA PÚBLICA MEDIANTE PRECATÓRIO. EMENDA CONSTITUCIONAL Nº 62/2009. INCONSTITUCIONALIDADE FORMAL NÃO CONFIGURADA. INEXISTÊNCIA DE INTERSTÍCIO CONSTITUCIONAL MÍNIMO ENTRE OS DOIS TURNOS DE VOTAÇÃO DE EMENDAS À LEI MAIOR (CF, ART. 60, §2º). CONSTITUCIONALIDADE DA SISTEMÁTICA DE “SUPERPREFERÊNCIA” A CREDORES DE VERBAS ALIMENTÍCIAS QUANDO IDOSOS OU PORTADORES DE DOENÇA GRAVE. RESPEITO À DIGNIDADE DA PESSOA HUMANA E À PROPORCIONALIDADE. INVALIDADE JURÍDICO-CONSTITUCIONAL DA LIMITAÇÃO DA PREFERÊNCIA A IDOSOS QUE COMPLETEM 60 (SESSENTA) ANOS ATÉ A EXPEDIÇÃO DO PRECATÓRIO. DISCRIMINAÇÃO ARBITRÁRIA E VIOLAÇÃO À ISONOMIA (CF, ART. 5º). INCONSTITUCIONALIDADE DA SISTEMÁTICA DE COMPENSAÇÃO DE DÉBITOS INSCRITOS EM PRECATÓRIOS EM PROVEITO EXCLUSIVO DA FAZENDA PÚBLICA. EMBARAÇO </w:t>
      </w:r>
      <w:proofErr w:type="gramStart"/>
      <w:r w:rsidRPr="00A440C5">
        <w:rPr>
          <w:rFonts w:ascii="Arial" w:hAnsi="Arial" w:cs="Arial"/>
          <w:bCs/>
          <w:sz w:val="20"/>
          <w:szCs w:val="20"/>
        </w:rPr>
        <w:t>À</w:t>
      </w:r>
      <w:proofErr w:type="gramEnd"/>
      <w:r w:rsidRPr="00A440C5">
        <w:rPr>
          <w:rFonts w:ascii="Arial" w:hAnsi="Arial" w:cs="Arial"/>
          <w:bCs/>
          <w:sz w:val="20"/>
          <w:szCs w:val="20"/>
        </w:rPr>
        <w:t xml:space="preserve"> EFETIVIDADE DA JURISDIÇÃO (CF, ART. 5º, XXXV), DESRESPEITO À COISA JULGADA MATERIAL (CF, ART. 5º XXXVI), OFENSA À SEPARAÇÃO DOS PODERES (CF, ART. 2º) E ULTRAJE À ISONOMIA ENTRE O ESTADO E O PARTICULAR (CF, ART. 1º, CAPUT, C/C ART. 5º, CAPUT). </w:t>
      </w:r>
      <w:r w:rsidRPr="00A440C5">
        <w:rPr>
          <w:rFonts w:ascii="Arial" w:hAnsi="Arial" w:cs="Arial"/>
          <w:b/>
          <w:bCs/>
          <w:sz w:val="20"/>
          <w:szCs w:val="20"/>
        </w:rPr>
        <w:t>IMPOSSIBILIDADE JURÍDICA DA UTILIZAÇÃO DO ÍNDICE DE REMUNERAÇÃO DA CADERNETA DE POUPANÇA COMO CRITÉRIO DE CORREÇÃO MONETÁRIA</w:t>
      </w:r>
      <w:r w:rsidRPr="00A440C5">
        <w:rPr>
          <w:rFonts w:ascii="Arial" w:hAnsi="Arial" w:cs="Arial"/>
          <w:bCs/>
          <w:sz w:val="20"/>
          <w:szCs w:val="20"/>
        </w:rPr>
        <w:t xml:space="preserve">. VIOLAÇÃO AO DIREITO FUNDAMENTAL DE PROPRIEDADE (CF, ART. 5º, XXII). INADEQUAÇÃO MANIFESTA ENTRE MEIOS E FINS. INCONSTITUCIONALIDADE DA UTILIZAÇÃO DO RENDIMENTO DA CADERNETA DE POUPANÇA COMO ÍNDICE DEFINIDOR DOS JUROS MORATÓRIOS DOS CRÉDITOS INSCRITOS EM PRECATÓRIOS, QUANDO ORIUNDOS DE RELAÇÕES JURÍDICO-TRIBUTÁRIAS. DISCRIMINAÇÃO ARBITRÁRIA E VIOLAÇÃO À ISONOMIA ENTRE DEVEDOR PÚBLICO E DEVEDOR PRIVADO (CF, ART. 5º, CAPUT). INCONSTITUCIONALIDADE DO REGIME ESPECIAL DE PAGAMENTO. OFENSA À CLÁUSULA CONSTITUCIONAL DO ESTADO DE DIREITO (CF, ART. 1º, CAPUT), AO PRINCÍPIO DA SEPARAÇÃO DE PODERES (CF, ART. 2º), AO POSTULADO DA ISONOMIA (CF, ART. 5º, CAPUT), À GARANTIA DO ACESSO À JUSTIÇA E A EFETIVIDADE DA TUTELA JURISDICIONAL (CF, ART. 5º, XXXV) E AO DIREITO ADQUIRIDO E À COISA JULGADA (CF, ART. 5º, XXXVI). PEDIDO JULGADO PROCEDENTE EM PARTE. (...) </w:t>
      </w:r>
      <w:proofErr w:type="gramStart"/>
      <w:r w:rsidRPr="00A440C5">
        <w:rPr>
          <w:rFonts w:ascii="Arial" w:hAnsi="Arial" w:cs="Arial"/>
          <w:bCs/>
          <w:sz w:val="20"/>
          <w:szCs w:val="20"/>
        </w:rPr>
        <w:t>5</w:t>
      </w:r>
      <w:proofErr w:type="gramEnd"/>
      <w:r w:rsidRPr="00A440C5">
        <w:rPr>
          <w:rFonts w:ascii="Arial" w:hAnsi="Arial" w:cs="Arial"/>
          <w:bCs/>
          <w:sz w:val="20"/>
          <w:szCs w:val="20"/>
        </w:rPr>
        <w:t xml:space="preserve">. O direito fundamental de propriedade (CF, art. 5º, XXII) resta violado nas hipóteses em que a atualização monetária dos débitos fazendários inscritos em precatórios perfaz-se segundo o índice oficial de remuneração da caderneta de poupança, na medida em que </w:t>
      </w:r>
      <w:r w:rsidRPr="00A440C5">
        <w:rPr>
          <w:rFonts w:ascii="Arial" w:hAnsi="Arial" w:cs="Arial"/>
          <w:b/>
          <w:bCs/>
          <w:u w:val="single"/>
        </w:rPr>
        <w:t xml:space="preserve">este referencial é manifestamente incapaz de preservar o valor real do crédito de que é titular o cidadão. É que a </w:t>
      </w:r>
      <w:r w:rsidRPr="00A440C5">
        <w:rPr>
          <w:rFonts w:ascii="Arial" w:hAnsi="Arial" w:cs="Arial"/>
          <w:b/>
          <w:bCs/>
          <w:u w:val="single"/>
        </w:rPr>
        <w:lastRenderedPageBreak/>
        <w:t xml:space="preserve">inflação, fenômeno tipicamente econômico-monetário, mostra-se insuscetível de captação </w:t>
      </w:r>
      <w:proofErr w:type="spellStart"/>
      <w:r w:rsidRPr="00A440C5">
        <w:rPr>
          <w:rFonts w:ascii="Arial" w:hAnsi="Arial" w:cs="Arial"/>
          <w:b/>
          <w:bCs/>
          <w:u w:val="single"/>
        </w:rPr>
        <w:t>apriorística</w:t>
      </w:r>
      <w:proofErr w:type="spellEnd"/>
      <w:r w:rsidRPr="00A440C5">
        <w:rPr>
          <w:rFonts w:ascii="Arial" w:hAnsi="Arial" w:cs="Arial"/>
          <w:b/>
          <w:bCs/>
          <w:u w:val="single"/>
        </w:rPr>
        <w:t xml:space="preserve"> (ex ante), de modo que o meio escolhido pelo legislador constituinte (remuneração da caderneta de poupança) é inidôneo a promover o fim a que se destina (traduzir a inflação do período).</w:t>
      </w:r>
      <w:r w:rsidRPr="00A440C5">
        <w:rPr>
          <w:rFonts w:ascii="Arial" w:hAnsi="Arial" w:cs="Arial"/>
          <w:bCs/>
          <w:sz w:val="20"/>
          <w:szCs w:val="20"/>
        </w:rPr>
        <w:t xml:space="preserve"> 6. A quantificação dos juros moratórios relativos a débitos fazendários inscritos em precatórios segundo o índice de remuneração da caderneta de poupança vulnera o princípio constitucional da isonomia (CF, art. 5º, caput) ao incidir sobre débitos estatais de natureza tributária, pela discriminação em detrimento da parte processual privada que, salvo expressa determinação em contrário, responde pelos juros da mora tributária à taxa de 1% ao mês em favor do Estado (ex </w:t>
      </w:r>
      <w:proofErr w:type="gramStart"/>
      <w:r w:rsidRPr="00A440C5">
        <w:rPr>
          <w:rFonts w:ascii="Arial" w:hAnsi="Arial" w:cs="Arial"/>
          <w:bCs/>
          <w:sz w:val="20"/>
          <w:szCs w:val="20"/>
        </w:rPr>
        <w:t>vi</w:t>
      </w:r>
      <w:proofErr w:type="gramEnd"/>
      <w:r w:rsidRPr="00A440C5">
        <w:rPr>
          <w:rFonts w:ascii="Arial" w:hAnsi="Arial" w:cs="Arial"/>
          <w:bCs/>
          <w:sz w:val="20"/>
          <w:szCs w:val="20"/>
        </w:rPr>
        <w:t xml:space="preserve"> do art. 161, §1º, CTN). Declaração de inconstitucionalidade parcial sem redução da expressão “independentemente de sua natureza”, contida no art. 100, §12, da CF, incluído pela EC nº 62/09, para determinar que, quanto aos precatórios de natureza tributária, sejam aplicados os mesmos juros de mora incidentes sobre todo e qualquer crédito tributário. 7. O art. 1º-F da Lei nº 9.494/97, com redação dada pela Lei nº 11.960/09, ao reproduzir as regras da EC nº 62/09 quanto à atualização monetária e à fixação de juros moratórios de créditos inscritos em precatórios </w:t>
      </w:r>
      <w:proofErr w:type="gramStart"/>
      <w:r w:rsidRPr="00A440C5">
        <w:rPr>
          <w:rFonts w:ascii="Arial" w:hAnsi="Arial" w:cs="Arial"/>
          <w:bCs/>
          <w:sz w:val="20"/>
          <w:szCs w:val="20"/>
        </w:rPr>
        <w:t>incorre nos</w:t>
      </w:r>
      <w:proofErr w:type="gramEnd"/>
      <w:r w:rsidRPr="00A440C5">
        <w:rPr>
          <w:rFonts w:ascii="Arial" w:hAnsi="Arial" w:cs="Arial"/>
          <w:bCs/>
          <w:sz w:val="20"/>
          <w:szCs w:val="20"/>
        </w:rPr>
        <w:t xml:space="preserve"> mesmos vícios de juridicidade que inquinam o art. 100, §12, da CF, razão pela qual se revela inconstitucional por arrastamento, na mesma extensão dos itens 5 e 6 supra. 8. O regime “especial” de pagamento de precatórios para Estados e Municípios </w:t>
      </w:r>
      <w:proofErr w:type="gramStart"/>
      <w:r w:rsidRPr="00A440C5">
        <w:rPr>
          <w:rFonts w:ascii="Arial" w:hAnsi="Arial" w:cs="Arial"/>
          <w:bCs/>
          <w:sz w:val="20"/>
          <w:szCs w:val="20"/>
        </w:rPr>
        <w:t>criado</w:t>
      </w:r>
      <w:proofErr w:type="gramEnd"/>
      <w:r w:rsidRPr="00A440C5">
        <w:rPr>
          <w:rFonts w:ascii="Arial" w:hAnsi="Arial" w:cs="Arial"/>
          <w:bCs/>
          <w:sz w:val="20"/>
          <w:szCs w:val="20"/>
        </w:rPr>
        <w:t xml:space="preserve"> pela EC nº 62/09, ao veicular nova moratória na quitação dos débitos judiciais da Fazenda Pública e ao impor o contingenciamento de recursos para esse fim, viola a cláusula constitucional do Estado de Direito (CF, art. 1º, caput), o princípio da Separação de Poderes (CF, art. 2º), o postulado da isonomia (CF, art. 5º), a garantia do acesso à justiça e a efetividade da tutela jurisdicional (CF, art. 5º, XXXV), o direito adquirido e à coisa julgada (CF, art. 5º, XXXVI). 9. </w:t>
      </w:r>
      <w:proofErr w:type="gramStart"/>
      <w:r w:rsidRPr="00A440C5">
        <w:rPr>
          <w:rFonts w:ascii="Arial" w:hAnsi="Arial" w:cs="Arial"/>
          <w:bCs/>
          <w:sz w:val="20"/>
          <w:szCs w:val="20"/>
        </w:rPr>
        <w:t>Pedido de declaração de inconstitucionalidade julgado procedente em parte.”</w:t>
      </w:r>
      <w:proofErr w:type="gramEnd"/>
      <w:r w:rsidRPr="00A440C5">
        <w:rPr>
          <w:rFonts w:ascii="Arial" w:hAnsi="Arial" w:cs="Arial"/>
          <w:bCs/>
          <w:sz w:val="20"/>
          <w:szCs w:val="20"/>
        </w:rPr>
        <w:t xml:space="preserve"> (STF - ADI 4357 - Relator(a): AYRES BRITTO) – (destacamos)</w:t>
      </w:r>
    </w:p>
    <w:p w:rsidR="00883E91" w:rsidRPr="00A440C5" w:rsidRDefault="00883E91" w:rsidP="00883E91">
      <w:pPr>
        <w:tabs>
          <w:tab w:val="left" w:pos="0"/>
        </w:tabs>
        <w:spacing w:line="360" w:lineRule="auto"/>
        <w:ind w:firstLine="1701"/>
        <w:jc w:val="both"/>
        <w:rPr>
          <w:rFonts w:ascii="Arial" w:hAnsi="Arial" w:cs="Arial"/>
          <w:bCs/>
          <w:sz w:val="20"/>
          <w:szCs w:val="20"/>
        </w:rPr>
      </w:pPr>
    </w:p>
    <w:p w:rsidR="00883E91" w:rsidRPr="00A440C5" w:rsidRDefault="00883E91" w:rsidP="00883E91">
      <w:pPr>
        <w:tabs>
          <w:tab w:val="left" w:pos="0"/>
        </w:tabs>
        <w:spacing w:line="360" w:lineRule="auto"/>
        <w:ind w:firstLine="1701"/>
        <w:jc w:val="both"/>
      </w:pPr>
      <w:r w:rsidRPr="00A440C5">
        <w:rPr>
          <w:rFonts w:ascii="Arial" w:hAnsi="Arial" w:cs="Arial"/>
          <w:bCs/>
        </w:rPr>
        <w:t>Após o histórico julgamento da suprema corte ao analisar a correção monetária dos precatórios, situação em que se observa o interesse público e prerrogativas do Estado, restou cristalina a correta interpretação de que a TR não se presta a traduzir a inflação do período.</w:t>
      </w:r>
      <w:r w:rsidRPr="00A440C5">
        <w:t xml:space="preserve"> </w:t>
      </w:r>
    </w:p>
    <w:p w:rsidR="00883E91" w:rsidRPr="00A440C5" w:rsidRDefault="00883E91" w:rsidP="00883E91">
      <w:pPr>
        <w:tabs>
          <w:tab w:val="left" w:pos="0"/>
        </w:tabs>
        <w:spacing w:line="360" w:lineRule="auto"/>
        <w:ind w:firstLine="1701"/>
        <w:jc w:val="both"/>
        <w:rPr>
          <w:rFonts w:ascii="Arial" w:hAnsi="Arial" w:cs="Arial"/>
          <w:bCs/>
        </w:rPr>
      </w:pPr>
    </w:p>
    <w:p w:rsidR="00883E91" w:rsidRPr="00A440C5" w:rsidRDefault="00883E91" w:rsidP="00883E91">
      <w:pPr>
        <w:tabs>
          <w:tab w:val="left" w:pos="0"/>
        </w:tabs>
        <w:spacing w:line="360" w:lineRule="auto"/>
        <w:ind w:firstLine="1701"/>
        <w:jc w:val="both"/>
        <w:rPr>
          <w:rFonts w:ascii="Arial" w:hAnsi="Arial" w:cs="Arial"/>
          <w:bCs/>
        </w:rPr>
      </w:pPr>
      <w:r w:rsidRPr="00A440C5">
        <w:rPr>
          <w:rFonts w:ascii="Arial" w:hAnsi="Arial" w:cs="Arial"/>
          <w:bCs/>
        </w:rPr>
        <w:t xml:space="preserve">A Taxa Referencial não é mais aplicada como índice inflacionário oficial, já se manifestando nesse sentido o entendimento do Tribunal de Justiça de Mato Grosso do Sul: </w:t>
      </w:r>
    </w:p>
    <w:p w:rsidR="00883E91" w:rsidRPr="00A440C5" w:rsidRDefault="00883E91" w:rsidP="00883E91">
      <w:pPr>
        <w:tabs>
          <w:tab w:val="left" w:pos="0"/>
        </w:tabs>
        <w:spacing w:line="360" w:lineRule="auto"/>
        <w:ind w:firstLine="1701"/>
        <w:jc w:val="both"/>
        <w:rPr>
          <w:rFonts w:ascii="Arial" w:hAnsi="Arial" w:cs="Arial"/>
          <w:bCs/>
        </w:rPr>
      </w:pPr>
    </w:p>
    <w:p w:rsidR="00883E91" w:rsidRPr="00A440C5" w:rsidRDefault="00883E91" w:rsidP="00883E91">
      <w:pPr>
        <w:tabs>
          <w:tab w:val="left" w:pos="851"/>
        </w:tabs>
        <w:ind w:left="851"/>
        <w:jc w:val="both"/>
        <w:rPr>
          <w:rFonts w:ascii="Arial" w:hAnsi="Arial" w:cs="Arial"/>
          <w:bCs/>
          <w:i/>
          <w:sz w:val="22"/>
          <w:szCs w:val="22"/>
        </w:rPr>
      </w:pPr>
      <w:r w:rsidRPr="00A440C5">
        <w:rPr>
          <w:rFonts w:ascii="Arial" w:hAnsi="Arial" w:cs="Arial"/>
          <w:bCs/>
          <w:i/>
          <w:sz w:val="22"/>
          <w:szCs w:val="22"/>
        </w:rPr>
        <w:t>APELAÇÃO CÍVEL E REEXAME NECESSÁRIO CONHECIDO DE OFÍCIO – AÇÃO DE COBRANÇA C/C OBRIGAÇÃO DE FAZER – PRELIMINAR DE JULGAMENTO ULTRA PETITA</w:t>
      </w:r>
      <w:proofErr w:type="gramStart"/>
      <w:r w:rsidRPr="00A440C5">
        <w:rPr>
          <w:rFonts w:ascii="Arial" w:hAnsi="Arial" w:cs="Arial"/>
          <w:bCs/>
          <w:i/>
          <w:sz w:val="22"/>
          <w:szCs w:val="22"/>
        </w:rPr>
        <w:t xml:space="preserve">  </w:t>
      </w:r>
      <w:proofErr w:type="gramEnd"/>
      <w:r w:rsidRPr="00A440C5">
        <w:rPr>
          <w:rFonts w:ascii="Arial" w:hAnsi="Arial" w:cs="Arial"/>
          <w:bCs/>
          <w:i/>
          <w:sz w:val="22"/>
          <w:szCs w:val="22"/>
        </w:rPr>
        <w:t>– ACOLHIDA – DECOTAR O EXCESSO E NÃO A NULIDADE DO DECISUM – PRELIMINAR DE IRREGULARIDADE DA REPRESENTAÇÃO PROCESSUAL – AFASTADA – MÉRITO – AGENTE COMUNITÁRIO DE SAÚDE – INCENTIVOS FINANCEIROS FEDERAL – PORTARIA Nº 674/GM – DIREITO DOS SERVIDORES – PAGAMENTO DEVIDO – JUROS DE MORA – ART. 1º –F DA LEI 9.494/97 – CORREÇÃO MONETÁRIA – TAXA REFERENCIAL ATÉ 25/03/2015 – APÓS IPCA – HONORÁRIOS DE SUCUMBÊNCIA – MANTIDOS – ISENÇÃO DAS CUSTAS – PREQUESTIONAMENTO – RECURSOS PARCIALMENTE PROVIDOS.</w:t>
      </w:r>
    </w:p>
    <w:p w:rsidR="00883E91" w:rsidRPr="00A440C5" w:rsidRDefault="00883E91" w:rsidP="00883E91">
      <w:pPr>
        <w:tabs>
          <w:tab w:val="left" w:pos="851"/>
        </w:tabs>
        <w:ind w:left="851"/>
        <w:jc w:val="both"/>
        <w:rPr>
          <w:rFonts w:ascii="Arial" w:hAnsi="Arial" w:cs="Arial"/>
          <w:bCs/>
          <w:i/>
          <w:sz w:val="22"/>
          <w:szCs w:val="22"/>
        </w:rPr>
      </w:pPr>
      <w:r w:rsidRPr="00A440C5">
        <w:rPr>
          <w:rFonts w:ascii="Arial" w:hAnsi="Arial" w:cs="Arial"/>
          <w:bCs/>
          <w:i/>
          <w:sz w:val="22"/>
          <w:szCs w:val="22"/>
        </w:rPr>
        <w:t xml:space="preserve">Quando o julgado extrapola os limites da inicial, decidindo além do que foi requerido pela parte, é possível decotar o excesso para adequar o </w:t>
      </w:r>
      <w:proofErr w:type="spellStart"/>
      <w:r w:rsidRPr="00A440C5">
        <w:rPr>
          <w:rFonts w:ascii="Arial" w:hAnsi="Arial" w:cs="Arial"/>
          <w:bCs/>
          <w:i/>
          <w:sz w:val="22"/>
          <w:szCs w:val="22"/>
        </w:rPr>
        <w:t>decisum</w:t>
      </w:r>
      <w:proofErr w:type="spellEnd"/>
      <w:r w:rsidRPr="00A440C5">
        <w:rPr>
          <w:rFonts w:ascii="Arial" w:hAnsi="Arial" w:cs="Arial"/>
          <w:bCs/>
          <w:i/>
          <w:sz w:val="22"/>
          <w:szCs w:val="22"/>
        </w:rPr>
        <w:t xml:space="preserve"> sem que isso acarrete na nulidade. </w:t>
      </w:r>
    </w:p>
    <w:p w:rsidR="00883E91" w:rsidRPr="00A440C5" w:rsidRDefault="00883E91" w:rsidP="00883E91">
      <w:pPr>
        <w:tabs>
          <w:tab w:val="left" w:pos="851"/>
        </w:tabs>
        <w:ind w:left="851"/>
        <w:jc w:val="both"/>
        <w:rPr>
          <w:rFonts w:ascii="Arial" w:hAnsi="Arial" w:cs="Arial"/>
          <w:bCs/>
          <w:i/>
          <w:sz w:val="22"/>
          <w:szCs w:val="22"/>
        </w:rPr>
      </w:pPr>
      <w:r w:rsidRPr="00A440C5">
        <w:rPr>
          <w:rFonts w:ascii="Arial" w:hAnsi="Arial" w:cs="Arial"/>
          <w:bCs/>
          <w:i/>
          <w:sz w:val="22"/>
          <w:szCs w:val="22"/>
        </w:rPr>
        <w:t xml:space="preserve">Não há vício de representação processual do Município de Chapadão do Sul, pois a subscritora da apelação está qualificada como procuradora na peça, situação está </w:t>
      </w:r>
      <w:r w:rsidRPr="00A440C5">
        <w:rPr>
          <w:rFonts w:ascii="Arial" w:hAnsi="Arial" w:cs="Arial"/>
          <w:bCs/>
          <w:i/>
          <w:sz w:val="22"/>
          <w:szCs w:val="22"/>
        </w:rPr>
        <w:lastRenderedPageBreak/>
        <w:t>demonstrada por meio do termo de nomeação/posse, com indicação do número de sua OAB e utilização de papel timbrado da prefeitura.</w:t>
      </w:r>
    </w:p>
    <w:p w:rsidR="00883E91" w:rsidRPr="00A440C5" w:rsidRDefault="00883E91" w:rsidP="00883E91">
      <w:pPr>
        <w:tabs>
          <w:tab w:val="left" w:pos="851"/>
        </w:tabs>
        <w:ind w:left="851"/>
        <w:jc w:val="both"/>
        <w:rPr>
          <w:rFonts w:ascii="Arial" w:hAnsi="Arial" w:cs="Arial"/>
          <w:bCs/>
          <w:i/>
          <w:sz w:val="22"/>
          <w:szCs w:val="22"/>
        </w:rPr>
      </w:pPr>
      <w:r w:rsidRPr="00A440C5">
        <w:rPr>
          <w:rFonts w:ascii="Arial" w:hAnsi="Arial" w:cs="Arial"/>
          <w:bCs/>
          <w:i/>
          <w:sz w:val="22"/>
          <w:szCs w:val="22"/>
        </w:rPr>
        <w:t>Os agentes comunitários de saúde fazem jus ao recebimento do valor relativo ao incentivo financeiro federal previsto na Portaria n. 674/GM do Ministério da Saúde.</w:t>
      </w:r>
    </w:p>
    <w:p w:rsidR="00883E91" w:rsidRPr="00A440C5" w:rsidRDefault="00883E91" w:rsidP="00883E91">
      <w:pPr>
        <w:tabs>
          <w:tab w:val="left" w:pos="851"/>
        </w:tabs>
        <w:ind w:left="851"/>
        <w:jc w:val="both"/>
        <w:rPr>
          <w:rFonts w:ascii="Arial" w:hAnsi="Arial" w:cs="Arial"/>
          <w:b/>
          <w:bCs/>
          <w:i/>
          <w:sz w:val="22"/>
          <w:szCs w:val="22"/>
        </w:rPr>
      </w:pPr>
      <w:r w:rsidRPr="00A440C5">
        <w:rPr>
          <w:rFonts w:ascii="Arial" w:hAnsi="Arial" w:cs="Arial"/>
          <w:bCs/>
          <w:i/>
          <w:sz w:val="22"/>
          <w:szCs w:val="22"/>
        </w:rPr>
        <w:t xml:space="preserve">Em se tratando de condenação imposta à Fazenda Pública, os juros de mora devem ser calculados com base nos juros aplicados à caderneta de poupança. </w:t>
      </w:r>
      <w:r w:rsidRPr="00A440C5">
        <w:rPr>
          <w:rFonts w:ascii="Arial" w:hAnsi="Arial" w:cs="Arial"/>
          <w:b/>
          <w:bCs/>
          <w:i/>
          <w:sz w:val="22"/>
          <w:szCs w:val="22"/>
        </w:rPr>
        <w:t xml:space="preserve">Em relação </w:t>
      </w:r>
      <w:proofErr w:type="gramStart"/>
      <w:r w:rsidRPr="00A440C5">
        <w:rPr>
          <w:rFonts w:ascii="Arial" w:hAnsi="Arial" w:cs="Arial"/>
          <w:b/>
          <w:bCs/>
          <w:i/>
          <w:sz w:val="22"/>
          <w:szCs w:val="22"/>
        </w:rPr>
        <w:t>a</w:t>
      </w:r>
      <w:proofErr w:type="gramEnd"/>
      <w:r w:rsidRPr="00A440C5">
        <w:rPr>
          <w:rFonts w:ascii="Arial" w:hAnsi="Arial" w:cs="Arial"/>
          <w:b/>
          <w:bCs/>
          <w:i/>
          <w:sz w:val="22"/>
          <w:szCs w:val="22"/>
        </w:rPr>
        <w:t xml:space="preserve"> correção monetária, nos termos da recente decisão do STF, nos autos das </w:t>
      </w:r>
      <w:proofErr w:type="spellStart"/>
      <w:r w:rsidRPr="00A440C5">
        <w:rPr>
          <w:rFonts w:ascii="Arial" w:hAnsi="Arial" w:cs="Arial"/>
          <w:b/>
          <w:bCs/>
          <w:i/>
          <w:sz w:val="22"/>
          <w:szCs w:val="22"/>
        </w:rPr>
        <w:t>ADINs</w:t>
      </w:r>
      <w:proofErr w:type="spellEnd"/>
      <w:r w:rsidRPr="00A440C5">
        <w:rPr>
          <w:rFonts w:ascii="Arial" w:hAnsi="Arial" w:cs="Arial"/>
          <w:b/>
          <w:bCs/>
          <w:i/>
          <w:sz w:val="22"/>
          <w:szCs w:val="22"/>
        </w:rPr>
        <w:t xml:space="preserve"> n. 4425 e 4357, deve ser mantido o índice oficial de remuneração básica da caderneta de poupança (TR) até a data de 25/03/2015, sendo que após, será aplicado o IPCA–E.</w:t>
      </w:r>
    </w:p>
    <w:p w:rsidR="00883E91" w:rsidRPr="00A440C5" w:rsidRDefault="00883E91" w:rsidP="00883E91">
      <w:pPr>
        <w:tabs>
          <w:tab w:val="left" w:pos="851"/>
        </w:tabs>
        <w:ind w:left="851"/>
        <w:jc w:val="both"/>
        <w:rPr>
          <w:rFonts w:ascii="Arial" w:hAnsi="Arial" w:cs="Arial"/>
          <w:bCs/>
          <w:sz w:val="22"/>
          <w:szCs w:val="22"/>
        </w:rPr>
      </w:pPr>
      <w:r w:rsidRPr="00A440C5">
        <w:rPr>
          <w:rFonts w:ascii="Arial" w:hAnsi="Arial" w:cs="Arial"/>
          <w:bCs/>
          <w:i/>
          <w:sz w:val="22"/>
          <w:szCs w:val="22"/>
        </w:rPr>
        <w:t xml:space="preserve">(...) </w:t>
      </w:r>
      <w:r w:rsidRPr="00A440C5">
        <w:rPr>
          <w:rFonts w:ascii="Arial" w:hAnsi="Arial" w:cs="Arial"/>
          <w:bCs/>
          <w:sz w:val="22"/>
          <w:szCs w:val="22"/>
        </w:rPr>
        <w:t>(</w:t>
      </w:r>
      <w:proofErr w:type="gramStart"/>
      <w:r w:rsidRPr="00A440C5">
        <w:rPr>
          <w:rFonts w:ascii="Arial" w:hAnsi="Arial" w:cs="Arial"/>
          <w:bCs/>
          <w:sz w:val="22"/>
          <w:szCs w:val="22"/>
        </w:rPr>
        <w:t>Relator(</w:t>
      </w:r>
      <w:proofErr w:type="gramEnd"/>
      <w:r w:rsidRPr="00A440C5">
        <w:rPr>
          <w:rFonts w:ascii="Arial" w:hAnsi="Arial" w:cs="Arial"/>
          <w:bCs/>
          <w:sz w:val="22"/>
          <w:szCs w:val="22"/>
        </w:rPr>
        <w:t>a): Des. Eduardo Machado Rocha; Comarca: Chapadão do Sul; Órgão julgador: 3ª Câmara Cível; Data do julgamento: 10/05/2016; Data de registro: 11/05/2016)</w:t>
      </w:r>
    </w:p>
    <w:p w:rsidR="00883E91" w:rsidRPr="00A440C5" w:rsidRDefault="00883E91" w:rsidP="00883E91">
      <w:pPr>
        <w:tabs>
          <w:tab w:val="left" w:pos="0"/>
        </w:tabs>
        <w:spacing w:line="360" w:lineRule="auto"/>
        <w:ind w:firstLine="1701"/>
        <w:jc w:val="both"/>
        <w:rPr>
          <w:rFonts w:ascii="Arial" w:hAnsi="Arial" w:cs="Arial"/>
          <w:bCs/>
        </w:rPr>
      </w:pPr>
    </w:p>
    <w:p w:rsidR="00883E91" w:rsidRPr="00A440C5" w:rsidRDefault="00883E91" w:rsidP="00883E91">
      <w:pPr>
        <w:tabs>
          <w:tab w:val="left" w:pos="0"/>
        </w:tabs>
        <w:spacing w:line="360" w:lineRule="auto"/>
        <w:ind w:firstLine="1701"/>
        <w:jc w:val="both"/>
        <w:rPr>
          <w:rFonts w:ascii="Arial" w:hAnsi="Arial" w:cs="Arial"/>
          <w:bCs/>
        </w:rPr>
      </w:pPr>
      <w:r w:rsidRPr="00A440C5">
        <w:rPr>
          <w:rFonts w:ascii="Arial" w:hAnsi="Arial" w:cs="Arial"/>
          <w:bCs/>
        </w:rPr>
        <w:t>Não havendo que se falar na modulação dos efeitos da ADI citada, visto que tal modulação decorre do vultoso valor da soma de precatórios existentes que impossibilitaria uma mudança drástica na correção monetária desses débitos específicos, situação diversa dos valores das diligências dos oficiais de justiça que são perfeitamente viáveis de serem pagos com valores atualizados de forma justa, sem qualquer sobressalto no orçamento do TJ/MS.</w:t>
      </w:r>
    </w:p>
    <w:p w:rsidR="00883E91" w:rsidRPr="00A440C5" w:rsidRDefault="00883E91" w:rsidP="00883E91">
      <w:pPr>
        <w:tabs>
          <w:tab w:val="left" w:pos="0"/>
        </w:tabs>
        <w:spacing w:line="360" w:lineRule="auto"/>
        <w:ind w:firstLine="1701"/>
        <w:jc w:val="both"/>
        <w:rPr>
          <w:rFonts w:ascii="Arial" w:hAnsi="Arial" w:cs="Arial"/>
          <w:bCs/>
        </w:rPr>
      </w:pPr>
    </w:p>
    <w:p w:rsidR="00883E91" w:rsidRPr="00A440C5" w:rsidRDefault="00883E91" w:rsidP="00883E91">
      <w:pPr>
        <w:tabs>
          <w:tab w:val="left" w:pos="0"/>
        </w:tabs>
        <w:spacing w:line="360" w:lineRule="auto"/>
        <w:ind w:firstLine="1701"/>
        <w:jc w:val="both"/>
        <w:rPr>
          <w:rFonts w:ascii="Arial" w:hAnsi="Arial" w:cs="Arial"/>
          <w:bCs/>
        </w:rPr>
      </w:pPr>
      <w:r w:rsidRPr="00A440C5">
        <w:rPr>
          <w:rFonts w:ascii="Arial" w:hAnsi="Arial" w:cs="Arial"/>
          <w:bCs/>
        </w:rPr>
        <w:t xml:space="preserve">Portanto, demonstra-se de forma induvidosa a inaplicabilidade da Taxa Referencial – TR, tanto do ponto de vista técnico, haja vista ser rechaçada pelo STF como índice inflacionário oficial, como do ponto de vista fático, na medida em que </w:t>
      </w:r>
      <w:proofErr w:type="gramStart"/>
      <w:r w:rsidRPr="00A440C5">
        <w:rPr>
          <w:rFonts w:ascii="Arial" w:hAnsi="Arial" w:cs="Arial"/>
          <w:bCs/>
        </w:rPr>
        <w:t>torna-se</w:t>
      </w:r>
      <w:proofErr w:type="gramEnd"/>
      <w:r w:rsidRPr="00A440C5">
        <w:rPr>
          <w:rFonts w:ascii="Arial" w:hAnsi="Arial" w:cs="Arial"/>
          <w:bCs/>
        </w:rPr>
        <w:t xml:space="preserve"> cristalino que índices de 0,1% e 1,5% não refletem jamais a desvalorização da moeda em períodos de 12 meses da economia brasileira </w:t>
      </w:r>
      <w:r w:rsidR="00A440C5">
        <w:rPr>
          <w:rFonts w:ascii="Arial" w:hAnsi="Arial" w:cs="Arial"/>
          <w:bCs/>
        </w:rPr>
        <w:t>recente</w:t>
      </w:r>
      <w:r w:rsidRPr="00A440C5">
        <w:rPr>
          <w:rFonts w:ascii="Arial" w:hAnsi="Arial" w:cs="Arial"/>
          <w:bCs/>
        </w:rPr>
        <w:t>.</w:t>
      </w:r>
    </w:p>
    <w:p w:rsidR="00883E91" w:rsidRDefault="00883E91" w:rsidP="00D44E99">
      <w:pPr>
        <w:tabs>
          <w:tab w:val="left" w:pos="0"/>
        </w:tabs>
        <w:spacing w:line="360" w:lineRule="auto"/>
        <w:ind w:firstLine="1701"/>
        <w:jc w:val="both"/>
        <w:rPr>
          <w:rFonts w:ascii="Arial" w:hAnsi="Arial" w:cs="Arial"/>
          <w:bCs/>
        </w:rPr>
      </w:pPr>
    </w:p>
    <w:p w:rsidR="007C4875" w:rsidRDefault="00E532DA" w:rsidP="00D44E99">
      <w:pPr>
        <w:tabs>
          <w:tab w:val="left" w:pos="0"/>
        </w:tabs>
        <w:spacing w:line="360" w:lineRule="auto"/>
        <w:ind w:firstLine="1701"/>
        <w:jc w:val="both"/>
        <w:rPr>
          <w:rFonts w:ascii="Arial" w:hAnsi="Arial" w:cs="Arial"/>
          <w:bCs/>
        </w:rPr>
      </w:pPr>
      <w:r>
        <w:rPr>
          <w:rFonts w:ascii="Arial" w:hAnsi="Arial" w:cs="Arial"/>
          <w:bCs/>
        </w:rPr>
        <w:t>Enfim, temos na atualidade um aumento no</w:t>
      </w:r>
      <w:r w:rsidR="00A440C5">
        <w:rPr>
          <w:rFonts w:ascii="Arial" w:hAnsi="Arial" w:cs="Arial"/>
          <w:bCs/>
        </w:rPr>
        <w:t>s</w:t>
      </w:r>
      <w:r>
        <w:rPr>
          <w:rFonts w:ascii="Arial" w:hAnsi="Arial" w:cs="Arial"/>
          <w:bCs/>
        </w:rPr>
        <w:t xml:space="preserve"> preço</w:t>
      </w:r>
      <w:r w:rsidR="00A440C5">
        <w:rPr>
          <w:rFonts w:ascii="Arial" w:hAnsi="Arial" w:cs="Arial"/>
          <w:bCs/>
        </w:rPr>
        <w:t>s</w:t>
      </w:r>
      <w:r>
        <w:rPr>
          <w:rFonts w:ascii="Arial" w:hAnsi="Arial" w:cs="Arial"/>
          <w:bCs/>
        </w:rPr>
        <w:t xml:space="preserve"> d</w:t>
      </w:r>
      <w:r w:rsidR="00A440C5">
        <w:rPr>
          <w:rFonts w:ascii="Arial" w:hAnsi="Arial" w:cs="Arial"/>
          <w:bCs/>
        </w:rPr>
        <w:t>os</w:t>
      </w:r>
      <w:r>
        <w:rPr>
          <w:rFonts w:ascii="Arial" w:hAnsi="Arial" w:cs="Arial"/>
          <w:bCs/>
        </w:rPr>
        <w:t xml:space="preserve"> </w:t>
      </w:r>
      <w:proofErr w:type="gramStart"/>
      <w:r w:rsidR="00A440C5">
        <w:rPr>
          <w:rFonts w:ascii="Arial" w:hAnsi="Arial" w:cs="Arial"/>
          <w:bCs/>
        </w:rPr>
        <w:t>combustíveis absurdamente alto</w:t>
      </w:r>
      <w:proofErr w:type="gramEnd"/>
      <w:r w:rsidR="00A440C5">
        <w:rPr>
          <w:rFonts w:ascii="Arial" w:hAnsi="Arial" w:cs="Arial"/>
          <w:bCs/>
        </w:rPr>
        <w:t>,</w:t>
      </w:r>
      <w:r>
        <w:rPr>
          <w:rFonts w:ascii="Arial" w:hAnsi="Arial" w:cs="Arial"/>
          <w:bCs/>
        </w:rPr>
        <w:t xml:space="preserve"> enquanto os índices inflacionários </w:t>
      </w:r>
      <w:r w:rsidR="00AA55E8">
        <w:rPr>
          <w:rFonts w:ascii="Arial" w:hAnsi="Arial" w:cs="Arial"/>
          <w:bCs/>
        </w:rPr>
        <w:t>do recentes</w:t>
      </w:r>
      <w:r>
        <w:rPr>
          <w:rFonts w:ascii="Arial" w:hAnsi="Arial" w:cs="Arial"/>
          <w:bCs/>
        </w:rPr>
        <w:t xml:space="preserve"> não refletem esse fato notório, por outro lado, verifica-se que os oficiais de justiça não tiveram um reajuste minimamente razoável entre os anos de 2012 e 2015 ao ser aplicada posteriormente o insignificante índice da TR</w:t>
      </w:r>
      <w:r w:rsidR="00A440C5">
        <w:rPr>
          <w:rFonts w:ascii="Arial" w:hAnsi="Arial" w:cs="Arial"/>
          <w:bCs/>
        </w:rPr>
        <w:t>, o que reflete no valor atual das diligências</w:t>
      </w:r>
      <w:r>
        <w:rPr>
          <w:rFonts w:ascii="Arial" w:hAnsi="Arial" w:cs="Arial"/>
          <w:bCs/>
        </w:rPr>
        <w:t>.</w:t>
      </w:r>
    </w:p>
    <w:p w:rsidR="00AA55E8" w:rsidRDefault="00AA55E8" w:rsidP="00D44E99">
      <w:pPr>
        <w:tabs>
          <w:tab w:val="left" w:pos="0"/>
        </w:tabs>
        <w:spacing w:line="360" w:lineRule="auto"/>
        <w:ind w:firstLine="1701"/>
        <w:jc w:val="both"/>
        <w:rPr>
          <w:rFonts w:ascii="Arial" w:hAnsi="Arial" w:cs="Arial"/>
          <w:bCs/>
        </w:rPr>
      </w:pPr>
    </w:p>
    <w:p w:rsidR="00EF3A34" w:rsidRDefault="00405AE7" w:rsidP="00CA1EDD">
      <w:pPr>
        <w:tabs>
          <w:tab w:val="left" w:pos="0"/>
        </w:tabs>
        <w:spacing w:line="360" w:lineRule="auto"/>
        <w:ind w:firstLine="1701"/>
        <w:jc w:val="both"/>
        <w:rPr>
          <w:rFonts w:ascii="Arial" w:hAnsi="Arial" w:cs="Arial"/>
          <w:bCs/>
        </w:rPr>
      </w:pPr>
      <w:r>
        <w:rPr>
          <w:rFonts w:ascii="Arial" w:hAnsi="Arial" w:cs="Arial"/>
          <w:bCs/>
        </w:rPr>
        <w:t xml:space="preserve"> </w:t>
      </w:r>
      <w:r w:rsidR="00DD6307">
        <w:rPr>
          <w:rFonts w:ascii="Arial" w:hAnsi="Arial" w:cs="Arial"/>
          <w:bCs/>
        </w:rPr>
        <w:t>A pretensão de reajuste não entra em conflito com</w:t>
      </w:r>
      <w:r>
        <w:rPr>
          <w:rFonts w:ascii="Arial" w:hAnsi="Arial" w:cs="Arial"/>
          <w:bCs/>
        </w:rPr>
        <w:t xml:space="preserve"> o </w:t>
      </w:r>
      <w:r w:rsidR="00EF3A34" w:rsidRPr="00EF3A34">
        <w:rPr>
          <w:rFonts w:ascii="Arial" w:hAnsi="Arial" w:cs="Arial"/>
          <w:bCs/>
        </w:rPr>
        <w:t>art. 6º da Lei</w:t>
      </w:r>
      <w:r w:rsidR="00EF3A34">
        <w:rPr>
          <w:rFonts w:ascii="Arial" w:hAnsi="Arial" w:cs="Arial"/>
          <w:bCs/>
        </w:rPr>
        <w:t xml:space="preserve"> Estadual </w:t>
      </w:r>
      <w:r w:rsidR="00EF3A34" w:rsidRPr="00EF3A34">
        <w:rPr>
          <w:rFonts w:ascii="Arial" w:hAnsi="Arial" w:cs="Arial"/>
          <w:bCs/>
        </w:rPr>
        <w:t>nº 2.388</w:t>
      </w:r>
      <w:r w:rsidR="00EF3A34">
        <w:rPr>
          <w:rFonts w:ascii="Arial" w:hAnsi="Arial" w:cs="Arial"/>
          <w:bCs/>
        </w:rPr>
        <w:t>/200</w:t>
      </w:r>
      <w:r w:rsidR="00024368">
        <w:rPr>
          <w:rFonts w:ascii="Arial" w:hAnsi="Arial" w:cs="Arial"/>
          <w:bCs/>
        </w:rPr>
        <w:t>1</w:t>
      </w:r>
      <w:r w:rsidR="00EF3A34">
        <w:rPr>
          <w:rFonts w:ascii="Arial" w:hAnsi="Arial" w:cs="Arial"/>
          <w:bCs/>
        </w:rPr>
        <w:t xml:space="preserve">, </w:t>
      </w:r>
      <w:r w:rsidR="00DD6307">
        <w:rPr>
          <w:rFonts w:ascii="Arial" w:hAnsi="Arial" w:cs="Arial"/>
          <w:bCs/>
        </w:rPr>
        <w:t xml:space="preserve">que </w:t>
      </w:r>
      <w:r w:rsidR="00EF3A34">
        <w:rPr>
          <w:rFonts w:ascii="Arial" w:hAnsi="Arial" w:cs="Arial"/>
          <w:bCs/>
        </w:rPr>
        <w:t>prevê que o reajuste deve</w:t>
      </w:r>
      <w:r w:rsidR="006B7A41">
        <w:rPr>
          <w:rFonts w:ascii="Arial" w:hAnsi="Arial" w:cs="Arial"/>
          <w:bCs/>
        </w:rPr>
        <w:t xml:space="preserve"> com base em índice oficial a ser determinado pelo Presidente do Tribunal de Justiça de Mato Grosso do Sul</w:t>
      </w:r>
      <w:r w:rsidR="00DD6307">
        <w:rPr>
          <w:rFonts w:ascii="Arial" w:hAnsi="Arial" w:cs="Arial"/>
          <w:bCs/>
        </w:rPr>
        <w:t>, na medida em que apenas se estaria co</w:t>
      </w:r>
      <w:r w:rsidR="00C13694">
        <w:rPr>
          <w:rFonts w:ascii="Arial" w:hAnsi="Arial" w:cs="Arial"/>
          <w:bCs/>
        </w:rPr>
        <w:t>ncedendo o reajuste não efetivado em anos anteriores, levando-se em conta os fatos expostos que aumentaram os custos do transporte.</w:t>
      </w:r>
    </w:p>
    <w:p w:rsidR="00EF3A34" w:rsidRPr="00EF3A34" w:rsidRDefault="00EF3A34" w:rsidP="00EF3A34">
      <w:pPr>
        <w:tabs>
          <w:tab w:val="left" w:pos="0"/>
        </w:tabs>
        <w:spacing w:line="360" w:lineRule="auto"/>
        <w:ind w:firstLine="1701"/>
        <w:jc w:val="both"/>
        <w:rPr>
          <w:rFonts w:ascii="Arial" w:hAnsi="Arial" w:cs="Arial"/>
          <w:bCs/>
        </w:rPr>
      </w:pPr>
    </w:p>
    <w:p w:rsidR="007528EB" w:rsidRDefault="00C13694" w:rsidP="00EF3A34">
      <w:pPr>
        <w:tabs>
          <w:tab w:val="left" w:pos="0"/>
        </w:tabs>
        <w:spacing w:line="360" w:lineRule="auto"/>
        <w:ind w:firstLine="1701"/>
        <w:jc w:val="both"/>
        <w:rPr>
          <w:rFonts w:ascii="Arial" w:hAnsi="Arial" w:cs="Arial"/>
          <w:bCs/>
        </w:rPr>
      </w:pPr>
      <w:r>
        <w:rPr>
          <w:rFonts w:ascii="Arial" w:hAnsi="Arial" w:cs="Arial"/>
          <w:bCs/>
        </w:rPr>
        <w:lastRenderedPageBreak/>
        <w:t>Consequentemente, também se requer</w:t>
      </w:r>
      <w:r w:rsidR="00627CBB">
        <w:rPr>
          <w:rFonts w:ascii="Arial" w:hAnsi="Arial" w:cs="Arial"/>
          <w:bCs/>
        </w:rPr>
        <w:t xml:space="preserve"> o reajuste em igual proporção do orçamento previsto para pagamento de diligências da justiça gratuita, a fim de evitar sua desatualização em relação aos valores das diligências e consequentemente o aumento de valores retidos mensalmente.</w:t>
      </w:r>
    </w:p>
    <w:p w:rsidR="00627CBB" w:rsidRDefault="00627CBB" w:rsidP="00EF3A34">
      <w:pPr>
        <w:tabs>
          <w:tab w:val="left" w:pos="0"/>
        </w:tabs>
        <w:spacing w:line="360" w:lineRule="auto"/>
        <w:ind w:firstLine="1701"/>
        <w:jc w:val="both"/>
        <w:rPr>
          <w:rFonts w:ascii="Arial" w:hAnsi="Arial" w:cs="Arial"/>
          <w:bCs/>
        </w:rPr>
      </w:pPr>
    </w:p>
    <w:p w:rsidR="005B424B" w:rsidRDefault="005B424B" w:rsidP="005B424B">
      <w:pPr>
        <w:tabs>
          <w:tab w:val="left" w:pos="0"/>
        </w:tabs>
        <w:spacing w:line="360" w:lineRule="auto"/>
        <w:ind w:firstLine="1701"/>
        <w:jc w:val="both"/>
        <w:rPr>
          <w:rFonts w:ascii="Arial" w:hAnsi="Arial" w:cs="Arial"/>
          <w:bCs/>
        </w:rPr>
      </w:pPr>
      <w:r>
        <w:rPr>
          <w:rFonts w:ascii="Arial" w:hAnsi="Arial" w:cs="Arial"/>
          <w:bCs/>
        </w:rPr>
        <w:t xml:space="preserve">Ante o exposto </w:t>
      </w:r>
      <w:r w:rsidRPr="00E32A9F">
        <w:rPr>
          <w:rFonts w:ascii="Arial" w:hAnsi="Arial" w:cs="Arial"/>
          <w:b/>
          <w:bCs/>
          <w:u w:val="single"/>
        </w:rPr>
        <w:t xml:space="preserve">requer-se o </w:t>
      </w:r>
      <w:r w:rsidR="003F52DF" w:rsidRPr="00E32A9F">
        <w:rPr>
          <w:rFonts w:ascii="Arial" w:hAnsi="Arial" w:cs="Arial"/>
          <w:b/>
          <w:bCs/>
          <w:u w:val="single"/>
        </w:rPr>
        <w:t>reajuste dos valores das diligências dos oficiais de justiça</w:t>
      </w:r>
      <w:r w:rsidR="00052D27" w:rsidRPr="00E32A9F">
        <w:rPr>
          <w:rFonts w:ascii="Arial" w:hAnsi="Arial" w:cs="Arial"/>
          <w:b/>
          <w:bCs/>
          <w:u w:val="single"/>
        </w:rPr>
        <w:t xml:space="preserve"> em 25% (vinte e cinco por cento)</w:t>
      </w:r>
      <w:r w:rsidR="00052D27">
        <w:rPr>
          <w:rFonts w:ascii="Arial" w:hAnsi="Arial" w:cs="Arial"/>
          <w:bCs/>
        </w:rPr>
        <w:t xml:space="preserve"> diante do gigantesco aumento do preço dos combustíveis, componente essencial para cumprimento dos mandados, inclusive considerando a falta de reajuste razoável entre novembro/2012 e outubro/2015</w:t>
      </w:r>
      <w:r w:rsidR="003F52DF">
        <w:rPr>
          <w:rFonts w:ascii="Arial" w:hAnsi="Arial" w:cs="Arial"/>
          <w:bCs/>
        </w:rPr>
        <w:t>,</w:t>
      </w:r>
      <w:r w:rsidR="007C7B6F">
        <w:rPr>
          <w:rFonts w:ascii="Arial" w:hAnsi="Arial" w:cs="Arial"/>
          <w:bCs/>
        </w:rPr>
        <w:t xml:space="preserve"> </w:t>
      </w:r>
      <w:r w:rsidR="003F52DF">
        <w:rPr>
          <w:rFonts w:ascii="Arial" w:hAnsi="Arial" w:cs="Arial"/>
          <w:bCs/>
        </w:rPr>
        <w:t xml:space="preserve">bem como </w:t>
      </w:r>
      <w:proofErr w:type="gramStart"/>
      <w:r w:rsidR="00052D27">
        <w:rPr>
          <w:rFonts w:ascii="Arial" w:hAnsi="Arial" w:cs="Arial"/>
          <w:bCs/>
        </w:rPr>
        <w:t>requer-se</w:t>
      </w:r>
      <w:proofErr w:type="gramEnd"/>
      <w:r w:rsidR="00052D27">
        <w:rPr>
          <w:rFonts w:ascii="Arial" w:hAnsi="Arial" w:cs="Arial"/>
          <w:bCs/>
        </w:rPr>
        <w:t xml:space="preserve"> </w:t>
      </w:r>
      <w:r w:rsidR="003F52DF">
        <w:rPr>
          <w:rFonts w:ascii="Arial" w:hAnsi="Arial" w:cs="Arial"/>
          <w:bCs/>
        </w:rPr>
        <w:t>o reajuste em igual proporção do orçamento para pagamento de diligência de justiça gratuita</w:t>
      </w:r>
      <w:r w:rsidR="00B3474B">
        <w:rPr>
          <w:rFonts w:ascii="Arial" w:hAnsi="Arial" w:cs="Arial"/>
          <w:bCs/>
        </w:rPr>
        <w:t>.</w:t>
      </w:r>
      <w:r w:rsidR="00726CBC">
        <w:rPr>
          <w:rFonts w:ascii="Arial" w:hAnsi="Arial" w:cs="Arial"/>
          <w:bCs/>
        </w:rPr>
        <w:t xml:space="preserve"> </w:t>
      </w:r>
    </w:p>
    <w:p w:rsidR="00E32A9F" w:rsidRDefault="00E32A9F" w:rsidP="005B424B">
      <w:pPr>
        <w:tabs>
          <w:tab w:val="left" w:pos="0"/>
        </w:tabs>
        <w:spacing w:line="360" w:lineRule="auto"/>
        <w:ind w:firstLine="1701"/>
        <w:jc w:val="both"/>
        <w:rPr>
          <w:rFonts w:ascii="Arial" w:hAnsi="Arial" w:cs="Arial"/>
          <w:bCs/>
        </w:rPr>
      </w:pPr>
    </w:p>
    <w:p w:rsidR="00E32A9F" w:rsidRPr="00E32A9F" w:rsidRDefault="00E32A9F" w:rsidP="005B424B">
      <w:pPr>
        <w:tabs>
          <w:tab w:val="left" w:pos="0"/>
        </w:tabs>
        <w:spacing w:line="360" w:lineRule="auto"/>
        <w:ind w:firstLine="1701"/>
        <w:jc w:val="both"/>
        <w:rPr>
          <w:rFonts w:ascii="Arial" w:hAnsi="Arial" w:cs="Arial"/>
          <w:bCs/>
          <w:color w:val="FF0000"/>
        </w:rPr>
      </w:pPr>
      <w:r w:rsidRPr="00E32A9F">
        <w:rPr>
          <w:rFonts w:ascii="Arial" w:hAnsi="Arial" w:cs="Arial"/>
          <w:bCs/>
          <w:color w:val="FF0000"/>
        </w:rPr>
        <w:t>Solicita-se que além do cálculo de impacto financeiro do pedido, seja informado qual o gasto do Tribunal com o convênio junto aos Correios, a fim de ser comparado o custo e efetividade entre atos de comunicação processual via correio (com aviso de recebimento) e atos de comunicação processual via mandado (oficial de justiça), principalmente em relação a destinatários da área privada, havendo a possibilidade de se constatar grande vantagem no maior investimento em cumprimento de mandados, que se tende a ter maior índice de atos positivos evitando o “retrabalho”, resultando em economia e celeridade.</w:t>
      </w:r>
    </w:p>
    <w:p w:rsidR="00002A02" w:rsidRPr="00002A02" w:rsidRDefault="00002A02" w:rsidP="00002A02">
      <w:pPr>
        <w:tabs>
          <w:tab w:val="left" w:pos="0"/>
        </w:tabs>
        <w:spacing w:line="360" w:lineRule="auto"/>
        <w:ind w:firstLine="1701"/>
        <w:jc w:val="both"/>
        <w:rPr>
          <w:rFonts w:ascii="Arial" w:hAnsi="Arial" w:cs="Arial"/>
          <w:bCs/>
        </w:rPr>
      </w:pP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p>
    <w:p w:rsidR="00002A02" w:rsidRPr="00002A02" w:rsidRDefault="00D63B96" w:rsidP="00002A02">
      <w:pPr>
        <w:spacing w:line="360" w:lineRule="auto"/>
        <w:ind w:firstLine="1701"/>
        <w:jc w:val="both"/>
        <w:rPr>
          <w:rFonts w:ascii="Arial" w:hAnsi="Arial" w:cs="Arial"/>
          <w:bCs/>
        </w:rPr>
      </w:pPr>
      <w:r>
        <w:rPr>
          <w:rFonts w:ascii="Arial" w:hAnsi="Arial" w:cs="Arial"/>
          <w:bCs/>
        </w:rPr>
        <w:t>Pede-se deferimento.</w:t>
      </w:r>
    </w:p>
    <w:p w:rsidR="00F92BBD" w:rsidRPr="00002A02" w:rsidRDefault="00F92BBD" w:rsidP="00002A02">
      <w:pPr>
        <w:tabs>
          <w:tab w:val="left" w:pos="426"/>
        </w:tabs>
        <w:spacing w:after="120" w:line="360" w:lineRule="auto"/>
        <w:ind w:firstLine="1701"/>
        <w:jc w:val="both"/>
        <w:rPr>
          <w:rFonts w:ascii="Arial" w:hAnsi="Arial" w:cs="Arial"/>
          <w:bCs/>
        </w:rPr>
      </w:pPr>
    </w:p>
    <w:p w:rsidR="00F92BBD" w:rsidRPr="00002A02" w:rsidRDefault="00F92BBD" w:rsidP="00002A02">
      <w:pPr>
        <w:tabs>
          <w:tab w:val="left" w:pos="426"/>
        </w:tabs>
        <w:spacing w:after="120" w:line="360" w:lineRule="auto"/>
        <w:ind w:firstLine="1701"/>
        <w:jc w:val="both"/>
        <w:rPr>
          <w:rFonts w:ascii="Arial" w:hAnsi="Arial" w:cs="Arial"/>
          <w:bCs/>
        </w:rPr>
      </w:pPr>
      <w:r w:rsidRPr="00002A02">
        <w:rPr>
          <w:rFonts w:ascii="Arial" w:hAnsi="Arial" w:cs="Arial"/>
          <w:bCs/>
        </w:rPr>
        <w:t xml:space="preserve">Campo Grande/MS, </w:t>
      </w:r>
      <w:r w:rsidR="00CC07ED">
        <w:rPr>
          <w:rFonts w:ascii="Arial" w:hAnsi="Arial" w:cs="Arial"/>
          <w:bCs/>
        </w:rPr>
        <w:t>07</w:t>
      </w:r>
      <w:r w:rsidRPr="00002A02">
        <w:rPr>
          <w:rFonts w:ascii="Arial" w:hAnsi="Arial" w:cs="Arial"/>
          <w:bCs/>
        </w:rPr>
        <w:t xml:space="preserve"> </w:t>
      </w:r>
      <w:r w:rsidR="009F32F4">
        <w:rPr>
          <w:rFonts w:ascii="Arial" w:hAnsi="Arial" w:cs="Arial"/>
          <w:bCs/>
        </w:rPr>
        <w:t xml:space="preserve">de </w:t>
      </w:r>
      <w:r w:rsidR="00CC07ED">
        <w:rPr>
          <w:rFonts w:ascii="Arial" w:hAnsi="Arial" w:cs="Arial"/>
          <w:bCs/>
        </w:rPr>
        <w:t>junho</w:t>
      </w:r>
      <w:r w:rsidRPr="00002A02">
        <w:rPr>
          <w:rFonts w:ascii="Arial" w:hAnsi="Arial" w:cs="Arial"/>
          <w:bCs/>
        </w:rPr>
        <w:t xml:space="preserve"> de 201</w:t>
      </w:r>
      <w:r w:rsidR="00CC07ED">
        <w:rPr>
          <w:rFonts w:ascii="Arial" w:hAnsi="Arial" w:cs="Arial"/>
          <w:bCs/>
        </w:rPr>
        <w:t>8</w:t>
      </w:r>
      <w:r w:rsidRPr="00002A02">
        <w:rPr>
          <w:rFonts w:ascii="Arial" w:hAnsi="Arial" w:cs="Arial"/>
          <w:bCs/>
        </w:rPr>
        <w:t>.</w:t>
      </w:r>
    </w:p>
    <w:p w:rsidR="00801B36" w:rsidRDefault="00801B36" w:rsidP="007F6ED6">
      <w:pPr>
        <w:rPr>
          <w:rFonts w:ascii="Arial" w:hAnsi="Arial" w:cs="Arial"/>
        </w:rPr>
      </w:pPr>
    </w:p>
    <w:p w:rsidR="00801B36" w:rsidRPr="00A70CF9" w:rsidRDefault="00801B36" w:rsidP="007F6ED6">
      <w:pPr>
        <w:rPr>
          <w:rFonts w:ascii="Arial" w:hAnsi="Arial" w:cs="Arial"/>
        </w:rPr>
      </w:pPr>
    </w:p>
    <w:p w:rsidR="007F6ED6" w:rsidRPr="00A70CF9" w:rsidRDefault="00CC07ED" w:rsidP="007F6ED6">
      <w:pPr>
        <w:pStyle w:val="Ttulo8"/>
        <w:ind w:left="2832" w:right="141" w:firstLine="0"/>
        <w:rPr>
          <w:rFonts w:ascii="Arial" w:hAnsi="Arial" w:cs="Arial"/>
          <w:b/>
          <w:sz w:val="24"/>
          <w:szCs w:val="24"/>
        </w:rPr>
      </w:pPr>
      <w:r>
        <w:rPr>
          <w:rFonts w:ascii="Arial" w:hAnsi="Arial" w:cs="Arial"/>
          <w:b/>
          <w:sz w:val="24"/>
          <w:szCs w:val="24"/>
        </w:rPr>
        <w:t>Leonardo Barros de Lacerda</w:t>
      </w:r>
    </w:p>
    <w:p w:rsidR="007F6ED6" w:rsidRDefault="007F6ED6" w:rsidP="00283A63">
      <w:pPr>
        <w:ind w:left="2829"/>
        <w:rPr>
          <w:rFonts w:ascii="Arial" w:hAnsi="Arial" w:cs="Arial"/>
        </w:rPr>
      </w:pPr>
      <w:r w:rsidRPr="00A70CF9">
        <w:rPr>
          <w:rFonts w:ascii="Arial" w:hAnsi="Arial" w:cs="Arial"/>
        </w:rPr>
        <w:t>Presidente do S</w:t>
      </w:r>
      <w:r w:rsidR="00EC71F5">
        <w:rPr>
          <w:rFonts w:ascii="Arial" w:hAnsi="Arial" w:cs="Arial"/>
        </w:rPr>
        <w:t>INDIJUS</w:t>
      </w:r>
      <w:r w:rsidR="00831349">
        <w:rPr>
          <w:rFonts w:ascii="Arial" w:hAnsi="Arial" w:cs="Arial"/>
        </w:rPr>
        <w:t>-</w:t>
      </w:r>
      <w:r w:rsidRPr="00A70CF9">
        <w:rPr>
          <w:rFonts w:ascii="Arial" w:hAnsi="Arial" w:cs="Arial"/>
        </w:rPr>
        <w:t>MS</w:t>
      </w:r>
    </w:p>
    <w:sectPr w:rsidR="007F6ED6" w:rsidSect="00A057EA">
      <w:footerReference w:type="default" r:id="rId10"/>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A30" w:rsidRDefault="005C4A30">
      <w:r>
        <w:separator/>
      </w:r>
    </w:p>
  </w:endnote>
  <w:endnote w:type="continuationSeparator" w:id="0">
    <w:p w:rsidR="005C4A30" w:rsidRDefault="005C4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DF" w:rsidRPr="00B837F5" w:rsidRDefault="003269DF" w:rsidP="00CC3E3F">
    <w:pPr>
      <w:pStyle w:val="Rodap"/>
      <w:jc w:val="center"/>
      <w:rPr>
        <w:sz w:val="16"/>
        <w:szCs w:val="16"/>
      </w:rPr>
    </w:pPr>
    <w:r w:rsidRPr="00B837F5">
      <w:rPr>
        <w:sz w:val="16"/>
        <w:szCs w:val="16"/>
      </w:rPr>
      <w:t xml:space="preserve">Rua 24 de outubro nº 514 – Vila Glória – Campo Grande-MS - </w:t>
    </w:r>
    <w:proofErr w:type="spellStart"/>
    <w:proofErr w:type="gramStart"/>
    <w:r w:rsidRPr="00B837F5">
      <w:rPr>
        <w:sz w:val="16"/>
        <w:szCs w:val="16"/>
      </w:rPr>
      <w:t>Cep</w:t>
    </w:r>
    <w:proofErr w:type="spellEnd"/>
    <w:proofErr w:type="gramEnd"/>
    <w:r w:rsidRPr="00B837F5">
      <w:rPr>
        <w:sz w:val="16"/>
        <w:szCs w:val="16"/>
      </w:rPr>
      <w:t>: 79.004-400 – Fone: (067) 3382-5051 Fax: (067) 3325-8554</w:t>
    </w:r>
  </w:p>
  <w:p w:rsidR="003269DF" w:rsidRPr="00CC3E3F" w:rsidRDefault="003269DF" w:rsidP="00CC3E3F">
    <w:pPr>
      <w:pStyle w:val="Rodap"/>
      <w:jc w:val="center"/>
      <w:rPr>
        <w:sz w:val="18"/>
        <w:szCs w:val="18"/>
      </w:rPr>
    </w:pPr>
    <w:r w:rsidRPr="00CC3E3F">
      <w:rPr>
        <w:sz w:val="18"/>
        <w:szCs w:val="18"/>
      </w:rPr>
      <w:t>E-mail</w:t>
    </w:r>
    <w:r>
      <w:rPr>
        <w:sz w:val="18"/>
        <w:szCs w:val="18"/>
      </w:rPr>
      <w:t>:</w:t>
    </w:r>
    <w:r w:rsidRPr="00CC3E3F">
      <w:rPr>
        <w:sz w:val="18"/>
        <w:szCs w:val="18"/>
      </w:rPr>
      <w:t xml:space="preserve"> </w:t>
    </w:r>
    <w:hyperlink r:id="rId1" w:history="1">
      <w:r w:rsidRPr="00831543">
        <w:rPr>
          <w:rStyle w:val="Hyperlink"/>
          <w:sz w:val="18"/>
          <w:szCs w:val="18"/>
        </w:rPr>
        <w:t>sindjus@terra.com.br</w:t>
      </w:r>
    </w:hyperlink>
    <w:r w:rsidRPr="00CC3E3F">
      <w:rPr>
        <w:sz w:val="18"/>
        <w:szCs w:val="18"/>
      </w:rPr>
      <w:t xml:space="preserve"> </w:t>
    </w:r>
    <w:r>
      <w:rPr>
        <w:sz w:val="18"/>
        <w:szCs w:val="18"/>
      </w:rPr>
      <w:t>-</w:t>
    </w:r>
    <w:r w:rsidRPr="00CC3E3F">
      <w:rPr>
        <w:sz w:val="18"/>
        <w:szCs w:val="18"/>
      </w:rPr>
      <w:t xml:space="preserve"> Site</w:t>
    </w:r>
    <w:r>
      <w:rPr>
        <w:sz w:val="18"/>
        <w:szCs w:val="18"/>
      </w:rPr>
      <w:t>:</w:t>
    </w:r>
    <w:r w:rsidRPr="00CC3E3F">
      <w:rPr>
        <w:sz w:val="18"/>
        <w:szCs w:val="18"/>
      </w:rPr>
      <w:t xml:space="preserve"> </w:t>
    </w:r>
    <w:r>
      <w:rPr>
        <w:sz w:val="18"/>
        <w:szCs w:val="18"/>
      </w:rPr>
      <w:t>www.</w:t>
    </w:r>
    <w:r w:rsidRPr="00CC3E3F">
      <w:rPr>
        <w:sz w:val="18"/>
        <w:szCs w:val="18"/>
      </w:rPr>
      <w:t>sindijusms.org.br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A30" w:rsidRDefault="005C4A30">
      <w:r>
        <w:separator/>
      </w:r>
    </w:p>
  </w:footnote>
  <w:footnote w:type="continuationSeparator" w:id="0">
    <w:p w:rsidR="005C4A30" w:rsidRDefault="005C4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57D2F"/>
    <w:multiLevelType w:val="hybridMultilevel"/>
    <w:tmpl w:val="E9564B3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D18CB"/>
    <w:rsid w:val="00002A02"/>
    <w:rsid w:val="000150BA"/>
    <w:rsid w:val="00024368"/>
    <w:rsid w:val="000260E2"/>
    <w:rsid w:val="00033633"/>
    <w:rsid w:val="000364EC"/>
    <w:rsid w:val="00041C64"/>
    <w:rsid w:val="00043A8A"/>
    <w:rsid w:val="00044961"/>
    <w:rsid w:val="00044B0A"/>
    <w:rsid w:val="00046997"/>
    <w:rsid w:val="0005266A"/>
    <w:rsid w:val="00052D27"/>
    <w:rsid w:val="00055F25"/>
    <w:rsid w:val="00065D0E"/>
    <w:rsid w:val="000700DE"/>
    <w:rsid w:val="00080088"/>
    <w:rsid w:val="000806EF"/>
    <w:rsid w:val="00082020"/>
    <w:rsid w:val="00090A7F"/>
    <w:rsid w:val="00095FC4"/>
    <w:rsid w:val="000A36FD"/>
    <w:rsid w:val="000B7DEE"/>
    <w:rsid w:val="000C205A"/>
    <w:rsid w:val="000C544B"/>
    <w:rsid w:val="000D3D13"/>
    <w:rsid w:val="000D5A3A"/>
    <w:rsid w:val="000D7B4E"/>
    <w:rsid w:val="000E25BD"/>
    <w:rsid w:val="000E3F42"/>
    <w:rsid w:val="000E75F7"/>
    <w:rsid w:val="000F2276"/>
    <w:rsid w:val="000F40D6"/>
    <w:rsid w:val="0010011B"/>
    <w:rsid w:val="00100227"/>
    <w:rsid w:val="0010614E"/>
    <w:rsid w:val="00114126"/>
    <w:rsid w:val="0011795F"/>
    <w:rsid w:val="0012321E"/>
    <w:rsid w:val="0012367B"/>
    <w:rsid w:val="00132B47"/>
    <w:rsid w:val="00145DE3"/>
    <w:rsid w:val="001532E6"/>
    <w:rsid w:val="00157A4A"/>
    <w:rsid w:val="00162E97"/>
    <w:rsid w:val="00163618"/>
    <w:rsid w:val="00165A77"/>
    <w:rsid w:val="001875CE"/>
    <w:rsid w:val="00192A7F"/>
    <w:rsid w:val="001A16A7"/>
    <w:rsid w:val="001A2C90"/>
    <w:rsid w:val="001A7696"/>
    <w:rsid w:val="001B0119"/>
    <w:rsid w:val="001B4DC2"/>
    <w:rsid w:val="001C4AD7"/>
    <w:rsid w:val="001D489B"/>
    <w:rsid w:val="001F2102"/>
    <w:rsid w:val="001F5DA3"/>
    <w:rsid w:val="00210ABB"/>
    <w:rsid w:val="00214201"/>
    <w:rsid w:val="00217B94"/>
    <w:rsid w:val="00217BE3"/>
    <w:rsid w:val="002250BA"/>
    <w:rsid w:val="00236A69"/>
    <w:rsid w:val="002427AA"/>
    <w:rsid w:val="0025581A"/>
    <w:rsid w:val="0025608E"/>
    <w:rsid w:val="00264530"/>
    <w:rsid w:val="00264DE6"/>
    <w:rsid w:val="00267BDC"/>
    <w:rsid w:val="002709BC"/>
    <w:rsid w:val="002726AD"/>
    <w:rsid w:val="0027371C"/>
    <w:rsid w:val="0028354D"/>
    <w:rsid w:val="00283A63"/>
    <w:rsid w:val="002865E9"/>
    <w:rsid w:val="00290B30"/>
    <w:rsid w:val="002A79E3"/>
    <w:rsid w:val="002B2D76"/>
    <w:rsid w:val="002B7D4D"/>
    <w:rsid w:val="002C78C5"/>
    <w:rsid w:val="002C7A29"/>
    <w:rsid w:val="002D2D27"/>
    <w:rsid w:val="002D4BF8"/>
    <w:rsid w:val="002E4718"/>
    <w:rsid w:val="002E5F45"/>
    <w:rsid w:val="002F622A"/>
    <w:rsid w:val="00310774"/>
    <w:rsid w:val="0031301E"/>
    <w:rsid w:val="003133A5"/>
    <w:rsid w:val="003175AE"/>
    <w:rsid w:val="0032111F"/>
    <w:rsid w:val="0032122A"/>
    <w:rsid w:val="003269DF"/>
    <w:rsid w:val="003309D2"/>
    <w:rsid w:val="00342110"/>
    <w:rsid w:val="00342934"/>
    <w:rsid w:val="00345ED7"/>
    <w:rsid w:val="00347174"/>
    <w:rsid w:val="003508EB"/>
    <w:rsid w:val="00350B93"/>
    <w:rsid w:val="003514D8"/>
    <w:rsid w:val="00355775"/>
    <w:rsid w:val="00365C22"/>
    <w:rsid w:val="003676B5"/>
    <w:rsid w:val="00374239"/>
    <w:rsid w:val="003769FD"/>
    <w:rsid w:val="00393F1D"/>
    <w:rsid w:val="003963BA"/>
    <w:rsid w:val="003B20CF"/>
    <w:rsid w:val="003B28D4"/>
    <w:rsid w:val="003C4AE3"/>
    <w:rsid w:val="003D18CB"/>
    <w:rsid w:val="003D51B7"/>
    <w:rsid w:val="003F2264"/>
    <w:rsid w:val="003F29E5"/>
    <w:rsid w:val="003F4C45"/>
    <w:rsid w:val="003F5180"/>
    <w:rsid w:val="003F52DF"/>
    <w:rsid w:val="00401893"/>
    <w:rsid w:val="00403BE0"/>
    <w:rsid w:val="00405AE7"/>
    <w:rsid w:val="0041507E"/>
    <w:rsid w:val="00415AB6"/>
    <w:rsid w:val="00426008"/>
    <w:rsid w:val="00426C34"/>
    <w:rsid w:val="00443060"/>
    <w:rsid w:val="004439B4"/>
    <w:rsid w:val="00444B27"/>
    <w:rsid w:val="00445A06"/>
    <w:rsid w:val="004472CB"/>
    <w:rsid w:val="004536C3"/>
    <w:rsid w:val="00471815"/>
    <w:rsid w:val="00495723"/>
    <w:rsid w:val="004A7AB5"/>
    <w:rsid w:val="004A7E8A"/>
    <w:rsid w:val="004B2733"/>
    <w:rsid w:val="004B431F"/>
    <w:rsid w:val="004B4BEE"/>
    <w:rsid w:val="004B6F27"/>
    <w:rsid w:val="004C0240"/>
    <w:rsid w:val="004C5CC0"/>
    <w:rsid w:val="004D01E9"/>
    <w:rsid w:val="004D0C1C"/>
    <w:rsid w:val="004D1FD2"/>
    <w:rsid w:val="004E71A2"/>
    <w:rsid w:val="004F3FD1"/>
    <w:rsid w:val="00503574"/>
    <w:rsid w:val="005230B4"/>
    <w:rsid w:val="0053769C"/>
    <w:rsid w:val="00542122"/>
    <w:rsid w:val="00556D4F"/>
    <w:rsid w:val="00566DD5"/>
    <w:rsid w:val="00570498"/>
    <w:rsid w:val="00587C53"/>
    <w:rsid w:val="00595B8A"/>
    <w:rsid w:val="00597829"/>
    <w:rsid w:val="005A0A8B"/>
    <w:rsid w:val="005A2F83"/>
    <w:rsid w:val="005B424B"/>
    <w:rsid w:val="005B7365"/>
    <w:rsid w:val="005C0AF8"/>
    <w:rsid w:val="005C2C8C"/>
    <w:rsid w:val="005C4312"/>
    <w:rsid w:val="005C4A30"/>
    <w:rsid w:val="005E0379"/>
    <w:rsid w:val="005E68EE"/>
    <w:rsid w:val="005E6B7D"/>
    <w:rsid w:val="005F0BB1"/>
    <w:rsid w:val="005F3744"/>
    <w:rsid w:val="005F52CB"/>
    <w:rsid w:val="006154CF"/>
    <w:rsid w:val="00620672"/>
    <w:rsid w:val="006236CE"/>
    <w:rsid w:val="00625184"/>
    <w:rsid w:val="006261C8"/>
    <w:rsid w:val="00627CBB"/>
    <w:rsid w:val="0063067F"/>
    <w:rsid w:val="00631C36"/>
    <w:rsid w:val="006351F7"/>
    <w:rsid w:val="00645395"/>
    <w:rsid w:val="006476AF"/>
    <w:rsid w:val="00662086"/>
    <w:rsid w:val="00663A39"/>
    <w:rsid w:val="00667A8A"/>
    <w:rsid w:val="006804AD"/>
    <w:rsid w:val="006940C9"/>
    <w:rsid w:val="006A4812"/>
    <w:rsid w:val="006A6A4F"/>
    <w:rsid w:val="006B3BFB"/>
    <w:rsid w:val="006B7879"/>
    <w:rsid w:val="006B7A41"/>
    <w:rsid w:val="006C1A0E"/>
    <w:rsid w:val="006C36D4"/>
    <w:rsid w:val="006D7270"/>
    <w:rsid w:val="006E4298"/>
    <w:rsid w:val="006E4F7A"/>
    <w:rsid w:val="006E5C01"/>
    <w:rsid w:val="006E6733"/>
    <w:rsid w:val="006F0D84"/>
    <w:rsid w:val="006F11D3"/>
    <w:rsid w:val="006F2A83"/>
    <w:rsid w:val="007057AE"/>
    <w:rsid w:val="007135FF"/>
    <w:rsid w:val="00713EB3"/>
    <w:rsid w:val="007152AC"/>
    <w:rsid w:val="00715A5F"/>
    <w:rsid w:val="00725185"/>
    <w:rsid w:val="00726CBC"/>
    <w:rsid w:val="00736E81"/>
    <w:rsid w:val="007425FD"/>
    <w:rsid w:val="00742DAA"/>
    <w:rsid w:val="00743251"/>
    <w:rsid w:val="007528EB"/>
    <w:rsid w:val="00755531"/>
    <w:rsid w:val="00756098"/>
    <w:rsid w:val="00761C4C"/>
    <w:rsid w:val="00762297"/>
    <w:rsid w:val="007633C0"/>
    <w:rsid w:val="0076540A"/>
    <w:rsid w:val="0076611E"/>
    <w:rsid w:val="00785EE5"/>
    <w:rsid w:val="007874C1"/>
    <w:rsid w:val="00790162"/>
    <w:rsid w:val="00791DFE"/>
    <w:rsid w:val="00794E0F"/>
    <w:rsid w:val="007A1F91"/>
    <w:rsid w:val="007B41BE"/>
    <w:rsid w:val="007C4875"/>
    <w:rsid w:val="007C5360"/>
    <w:rsid w:val="007C76D6"/>
    <w:rsid w:val="007C7B6F"/>
    <w:rsid w:val="007D0BAC"/>
    <w:rsid w:val="007D6C1B"/>
    <w:rsid w:val="007E0923"/>
    <w:rsid w:val="007F24F1"/>
    <w:rsid w:val="007F6400"/>
    <w:rsid w:val="007F641B"/>
    <w:rsid w:val="007F6ED6"/>
    <w:rsid w:val="007F77EC"/>
    <w:rsid w:val="008015B4"/>
    <w:rsid w:val="00801B36"/>
    <w:rsid w:val="008058E0"/>
    <w:rsid w:val="00820336"/>
    <w:rsid w:val="00822F10"/>
    <w:rsid w:val="00831349"/>
    <w:rsid w:val="00834EDF"/>
    <w:rsid w:val="00837842"/>
    <w:rsid w:val="00837A6F"/>
    <w:rsid w:val="00851AE8"/>
    <w:rsid w:val="008543D4"/>
    <w:rsid w:val="00872D5A"/>
    <w:rsid w:val="00880B12"/>
    <w:rsid w:val="00883E91"/>
    <w:rsid w:val="008A4A48"/>
    <w:rsid w:val="008A595F"/>
    <w:rsid w:val="008A7FCA"/>
    <w:rsid w:val="008B461D"/>
    <w:rsid w:val="008D24B7"/>
    <w:rsid w:val="008D2F60"/>
    <w:rsid w:val="008D4965"/>
    <w:rsid w:val="008D6680"/>
    <w:rsid w:val="008E50AE"/>
    <w:rsid w:val="009002C8"/>
    <w:rsid w:val="0090150C"/>
    <w:rsid w:val="0090558A"/>
    <w:rsid w:val="00925213"/>
    <w:rsid w:val="00926AD7"/>
    <w:rsid w:val="009343CA"/>
    <w:rsid w:val="00935F19"/>
    <w:rsid w:val="00937679"/>
    <w:rsid w:val="00941FFE"/>
    <w:rsid w:val="009440BF"/>
    <w:rsid w:val="009451FB"/>
    <w:rsid w:val="0095494D"/>
    <w:rsid w:val="009574AE"/>
    <w:rsid w:val="009600A6"/>
    <w:rsid w:val="009619A4"/>
    <w:rsid w:val="00964CA9"/>
    <w:rsid w:val="0096724B"/>
    <w:rsid w:val="0097603B"/>
    <w:rsid w:val="00980604"/>
    <w:rsid w:val="0098392E"/>
    <w:rsid w:val="0099038A"/>
    <w:rsid w:val="009A6A6D"/>
    <w:rsid w:val="009B0A89"/>
    <w:rsid w:val="009B5EE8"/>
    <w:rsid w:val="009C3E26"/>
    <w:rsid w:val="009E5FD6"/>
    <w:rsid w:val="009F14DA"/>
    <w:rsid w:val="009F32F4"/>
    <w:rsid w:val="009F37A4"/>
    <w:rsid w:val="009F46E8"/>
    <w:rsid w:val="00A02881"/>
    <w:rsid w:val="00A041F9"/>
    <w:rsid w:val="00A057EA"/>
    <w:rsid w:val="00A060D0"/>
    <w:rsid w:val="00A07AE2"/>
    <w:rsid w:val="00A1679B"/>
    <w:rsid w:val="00A21FDB"/>
    <w:rsid w:val="00A277D3"/>
    <w:rsid w:val="00A4232F"/>
    <w:rsid w:val="00A440C5"/>
    <w:rsid w:val="00A50508"/>
    <w:rsid w:val="00A5291D"/>
    <w:rsid w:val="00A5721E"/>
    <w:rsid w:val="00A60672"/>
    <w:rsid w:val="00A60BAC"/>
    <w:rsid w:val="00A6246F"/>
    <w:rsid w:val="00A661E5"/>
    <w:rsid w:val="00A70CF9"/>
    <w:rsid w:val="00A73AB3"/>
    <w:rsid w:val="00A74EF8"/>
    <w:rsid w:val="00A8185D"/>
    <w:rsid w:val="00A928A4"/>
    <w:rsid w:val="00A96BF9"/>
    <w:rsid w:val="00AA55E8"/>
    <w:rsid w:val="00AA66D4"/>
    <w:rsid w:val="00AA68E7"/>
    <w:rsid w:val="00AA77EC"/>
    <w:rsid w:val="00AB28C6"/>
    <w:rsid w:val="00AB3264"/>
    <w:rsid w:val="00AB33FF"/>
    <w:rsid w:val="00AB6373"/>
    <w:rsid w:val="00AB6F2F"/>
    <w:rsid w:val="00AC16FD"/>
    <w:rsid w:val="00AD0B5D"/>
    <w:rsid w:val="00AD4183"/>
    <w:rsid w:val="00AD650B"/>
    <w:rsid w:val="00B07749"/>
    <w:rsid w:val="00B10134"/>
    <w:rsid w:val="00B10E6F"/>
    <w:rsid w:val="00B16109"/>
    <w:rsid w:val="00B1765D"/>
    <w:rsid w:val="00B223A1"/>
    <w:rsid w:val="00B30BC6"/>
    <w:rsid w:val="00B3474B"/>
    <w:rsid w:val="00B437C3"/>
    <w:rsid w:val="00B55473"/>
    <w:rsid w:val="00B61F65"/>
    <w:rsid w:val="00B6295A"/>
    <w:rsid w:val="00B63F2E"/>
    <w:rsid w:val="00B652F6"/>
    <w:rsid w:val="00B67EDA"/>
    <w:rsid w:val="00B72119"/>
    <w:rsid w:val="00B820C0"/>
    <w:rsid w:val="00B82AE8"/>
    <w:rsid w:val="00B837F5"/>
    <w:rsid w:val="00B87E89"/>
    <w:rsid w:val="00BA1D41"/>
    <w:rsid w:val="00BC3290"/>
    <w:rsid w:val="00BC366A"/>
    <w:rsid w:val="00BC6D38"/>
    <w:rsid w:val="00BD511C"/>
    <w:rsid w:val="00BE0712"/>
    <w:rsid w:val="00BE784F"/>
    <w:rsid w:val="00BF37DF"/>
    <w:rsid w:val="00BF7CF7"/>
    <w:rsid w:val="00C044E5"/>
    <w:rsid w:val="00C13694"/>
    <w:rsid w:val="00C2595C"/>
    <w:rsid w:val="00C35248"/>
    <w:rsid w:val="00C43520"/>
    <w:rsid w:val="00C647C1"/>
    <w:rsid w:val="00C649A4"/>
    <w:rsid w:val="00C813B6"/>
    <w:rsid w:val="00C84196"/>
    <w:rsid w:val="00C85A50"/>
    <w:rsid w:val="00C9205C"/>
    <w:rsid w:val="00C94257"/>
    <w:rsid w:val="00C95271"/>
    <w:rsid w:val="00C9640C"/>
    <w:rsid w:val="00C96B8D"/>
    <w:rsid w:val="00CA1EDD"/>
    <w:rsid w:val="00CA7C08"/>
    <w:rsid w:val="00CB75A5"/>
    <w:rsid w:val="00CC07ED"/>
    <w:rsid w:val="00CC1F1E"/>
    <w:rsid w:val="00CC3E3F"/>
    <w:rsid w:val="00CC41B7"/>
    <w:rsid w:val="00CC483F"/>
    <w:rsid w:val="00CC59ED"/>
    <w:rsid w:val="00CC72A5"/>
    <w:rsid w:val="00CE406E"/>
    <w:rsid w:val="00CE5197"/>
    <w:rsid w:val="00CF4826"/>
    <w:rsid w:val="00D13538"/>
    <w:rsid w:val="00D14381"/>
    <w:rsid w:val="00D14B33"/>
    <w:rsid w:val="00D2047F"/>
    <w:rsid w:val="00D26A01"/>
    <w:rsid w:val="00D33C5F"/>
    <w:rsid w:val="00D43D23"/>
    <w:rsid w:val="00D44E99"/>
    <w:rsid w:val="00D45E29"/>
    <w:rsid w:val="00D4612A"/>
    <w:rsid w:val="00D55430"/>
    <w:rsid w:val="00D56C2F"/>
    <w:rsid w:val="00D608E9"/>
    <w:rsid w:val="00D63830"/>
    <w:rsid w:val="00D63A43"/>
    <w:rsid w:val="00D63B96"/>
    <w:rsid w:val="00D7354F"/>
    <w:rsid w:val="00D80D5D"/>
    <w:rsid w:val="00D861B1"/>
    <w:rsid w:val="00D86BC6"/>
    <w:rsid w:val="00D905A6"/>
    <w:rsid w:val="00D91FBF"/>
    <w:rsid w:val="00DB7536"/>
    <w:rsid w:val="00DC0448"/>
    <w:rsid w:val="00DC4738"/>
    <w:rsid w:val="00DD029C"/>
    <w:rsid w:val="00DD1A94"/>
    <w:rsid w:val="00DD5B33"/>
    <w:rsid w:val="00DD6307"/>
    <w:rsid w:val="00DE6B32"/>
    <w:rsid w:val="00DF198E"/>
    <w:rsid w:val="00DF501A"/>
    <w:rsid w:val="00E05A3F"/>
    <w:rsid w:val="00E0734D"/>
    <w:rsid w:val="00E07B7F"/>
    <w:rsid w:val="00E10732"/>
    <w:rsid w:val="00E17666"/>
    <w:rsid w:val="00E228C1"/>
    <w:rsid w:val="00E2617D"/>
    <w:rsid w:val="00E275E1"/>
    <w:rsid w:val="00E3122B"/>
    <w:rsid w:val="00E31ADD"/>
    <w:rsid w:val="00E32A9F"/>
    <w:rsid w:val="00E343F1"/>
    <w:rsid w:val="00E36C09"/>
    <w:rsid w:val="00E40374"/>
    <w:rsid w:val="00E532DA"/>
    <w:rsid w:val="00E54EED"/>
    <w:rsid w:val="00E556B9"/>
    <w:rsid w:val="00E5660A"/>
    <w:rsid w:val="00E56C2C"/>
    <w:rsid w:val="00E570ED"/>
    <w:rsid w:val="00E57F2B"/>
    <w:rsid w:val="00E6069B"/>
    <w:rsid w:val="00E653C2"/>
    <w:rsid w:val="00E85A68"/>
    <w:rsid w:val="00E87CA8"/>
    <w:rsid w:val="00E95588"/>
    <w:rsid w:val="00EA06C1"/>
    <w:rsid w:val="00EB2A33"/>
    <w:rsid w:val="00EB424F"/>
    <w:rsid w:val="00EB6C0F"/>
    <w:rsid w:val="00EC02AA"/>
    <w:rsid w:val="00EC34B8"/>
    <w:rsid w:val="00EC71F5"/>
    <w:rsid w:val="00EE28FB"/>
    <w:rsid w:val="00EF28AE"/>
    <w:rsid w:val="00EF3A34"/>
    <w:rsid w:val="00F02998"/>
    <w:rsid w:val="00F03B18"/>
    <w:rsid w:val="00F11C80"/>
    <w:rsid w:val="00F24D98"/>
    <w:rsid w:val="00F30A85"/>
    <w:rsid w:val="00F30B9F"/>
    <w:rsid w:val="00F34C85"/>
    <w:rsid w:val="00F37133"/>
    <w:rsid w:val="00F4082C"/>
    <w:rsid w:val="00F4096E"/>
    <w:rsid w:val="00F43453"/>
    <w:rsid w:val="00F44452"/>
    <w:rsid w:val="00F5438F"/>
    <w:rsid w:val="00F5613D"/>
    <w:rsid w:val="00F60653"/>
    <w:rsid w:val="00F67A3F"/>
    <w:rsid w:val="00F70E8C"/>
    <w:rsid w:val="00F74E7E"/>
    <w:rsid w:val="00F761C7"/>
    <w:rsid w:val="00F80C04"/>
    <w:rsid w:val="00F92BBD"/>
    <w:rsid w:val="00FB2E9D"/>
    <w:rsid w:val="00FB6550"/>
    <w:rsid w:val="00FC34AD"/>
    <w:rsid w:val="00FC637C"/>
    <w:rsid w:val="00FD0435"/>
    <w:rsid w:val="00FD2B32"/>
    <w:rsid w:val="00FD3011"/>
    <w:rsid w:val="00FD498D"/>
    <w:rsid w:val="00FD4CFD"/>
    <w:rsid w:val="00FD6F8E"/>
    <w:rsid w:val="00FF57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F2B"/>
    <w:rPr>
      <w:sz w:val="24"/>
      <w:szCs w:val="24"/>
    </w:rPr>
  </w:style>
  <w:style w:type="paragraph" w:styleId="Ttulo8">
    <w:name w:val="heading 8"/>
    <w:basedOn w:val="Normal"/>
    <w:next w:val="Normal"/>
    <w:qFormat/>
    <w:rsid w:val="002709BC"/>
    <w:pPr>
      <w:keepNext/>
      <w:ind w:firstLine="3544"/>
      <w:outlineLvl w:val="7"/>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C3E3F"/>
    <w:pPr>
      <w:tabs>
        <w:tab w:val="center" w:pos="4252"/>
        <w:tab w:val="right" w:pos="8504"/>
      </w:tabs>
    </w:pPr>
  </w:style>
  <w:style w:type="paragraph" w:styleId="Rodap">
    <w:name w:val="footer"/>
    <w:basedOn w:val="Normal"/>
    <w:rsid w:val="00CC3E3F"/>
    <w:pPr>
      <w:tabs>
        <w:tab w:val="center" w:pos="4252"/>
        <w:tab w:val="right" w:pos="8504"/>
      </w:tabs>
    </w:pPr>
  </w:style>
  <w:style w:type="character" w:styleId="Hyperlink">
    <w:name w:val="Hyperlink"/>
    <w:basedOn w:val="Fontepargpadro"/>
    <w:rsid w:val="00CC3E3F"/>
    <w:rPr>
      <w:color w:val="0000FF"/>
      <w:u w:val="single"/>
    </w:rPr>
  </w:style>
  <w:style w:type="paragraph" w:styleId="Textodebalo">
    <w:name w:val="Balloon Text"/>
    <w:basedOn w:val="Normal"/>
    <w:semiHidden/>
    <w:rsid w:val="00B72119"/>
    <w:rPr>
      <w:rFonts w:ascii="Tahoma" w:hAnsi="Tahoma" w:cs="Tahoma"/>
      <w:sz w:val="16"/>
      <w:szCs w:val="16"/>
    </w:rPr>
  </w:style>
  <w:style w:type="character" w:customStyle="1" w:styleId="apple-converted-space">
    <w:name w:val="apple-converted-space"/>
    <w:basedOn w:val="Fontepargpadro"/>
    <w:rsid w:val="00937679"/>
  </w:style>
  <w:style w:type="character" w:styleId="Forte">
    <w:name w:val="Strong"/>
    <w:basedOn w:val="Fontepargpadro"/>
    <w:uiPriority w:val="22"/>
    <w:qFormat/>
    <w:rsid w:val="007C4875"/>
    <w:rPr>
      <w:b/>
      <w:bCs/>
    </w:rPr>
  </w:style>
</w:styles>
</file>

<file path=word/webSettings.xml><?xml version="1.0" encoding="utf-8"?>
<w:webSettings xmlns:r="http://schemas.openxmlformats.org/officeDocument/2006/relationships" xmlns:w="http://schemas.openxmlformats.org/wordprocessingml/2006/main">
  <w:divs>
    <w:div w:id="14422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folha.uol.com.br/mercado/2018/05/politica-de-precos-da-gasolina-e-perversa-dizem-donos-de-postos.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alor.com.br/empresas/5553495/petrobras-anuncia-reducao-de-283-no-preco-da-gasolin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indjus@ter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2225</Words>
  <Characters>12020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14217</CharactersWithSpaces>
  <SharedDoc>false</SharedDoc>
  <HLinks>
    <vt:vector size="6" baseType="variant">
      <vt:variant>
        <vt:i4>7143434</vt:i4>
      </vt:variant>
      <vt:variant>
        <vt:i4>0</vt:i4>
      </vt:variant>
      <vt:variant>
        <vt:i4>0</vt:i4>
      </vt:variant>
      <vt:variant>
        <vt:i4>5</vt:i4>
      </vt:variant>
      <vt:variant>
        <vt:lpwstr>mailto:sindjus@terra.com.br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sec_executivo</dc:creator>
  <cp:lastModifiedBy>presidente</cp:lastModifiedBy>
  <cp:revision>55</cp:revision>
  <cp:lastPrinted>2017-08-22T15:54:00Z</cp:lastPrinted>
  <dcterms:created xsi:type="dcterms:W3CDTF">2017-11-24T21:49:00Z</dcterms:created>
  <dcterms:modified xsi:type="dcterms:W3CDTF">2018-06-12T15:55:00Z</dcterms:modified>
</cp:coreProperties>
</file>